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214FBB" w14:textId="5FF598A4" w:rsidR="00E21F46" w:rsidRPr="00AE4135" w:rsidRDefault="00635C0E" w:rsidP="001655C5">
      <w:pPr>
        <w:spacing w:after="0" w:line="240" w:lineRule="auto"/>
        <w:jc w:val="right"/>
      </w:pPr>
      <w:r w:rsidRPr="00AE4135">
        <w:t>Informācija masu medijiem</w:t>
      </w:r>
    </w:p>
    <w:p w14:paraId="7CFC7E04" w14:textId="14DE9E2F" w:rsidR="00E21F46" w:rsidRPr="00AE4135" w:rsidRDefault="00856A38" w:rsidP="001655C5">
      <w:pPr>
        <w:spacing w:after="0" w:line="240" w:lineRule="auto"/>
        <w:jc w:val="right"/>
      </w:pPr>
      <w:r>
        <w:t>20</w:t>
      </w:r>
      <w:r w:rsidR="00BC5ABF" w:rsidRPr="00AE4135">
        <w:t>.</w:t>
      </w:r>
      <w:r>
        <w:t>04</w:t>
      </w:r>
      <w:r w:rsidR="00216F78">
        <w:t>.2017</w:t>
      </w:r>
    </w:p>
    <w:p w14:paraId="0ECCBB10" w14:textId="4E2E1892" w:rsidR="00F90177" w:rsidRDefault="00F90177" w:rsidP="00952CC6">
      <w:pPr>
        <w:spacing w:after="0" w:line="240" w:lineRule="auto"/>
        <w:rPr>
          <w:b/>
          <w:sz w:val="24"/>
          <w:szCs w:val="24"/>
        </w:rPr>
      </w:pPr>
    </w:p>
    <w:p w14:paraId="05B553CF" w14:textId="70B9EE3A" w:rsidR="00916D83" w:rsidRPr="00575102" w:rsidRDefault="00856A38" w:rsidP="002B7295">
      <w:pPr>
        <w:spacing w:after="0" w:line="240" w:lineRule="auto"/>
        <w:rPr>
          <w:b/>
          <w:sz w:val="24"/>
          <w:szCs w:val="24"/>
        </w:rPr>
      </w:pPr>
      <w:r>
        <w:rPr>
          <w:b/>
          <w:sz w:val="24"/>
          <w:szCs w:val="24"/>
        </w:rPr>
        <w:t>Vidējā atlīdzība par kravas auto nodarītajiem zaudējumiem joprojām augsta</w:t>
      </w:r>
    </w:p>
    <w:p w14:paraId="737DE8BB" w14:textId="4AF8A815" w:rsidR="002B7295" w:rsidRPr="00AE4135" w:rsidRDefault="002B7295" w:rsidP="001655C5">
      <w:pPr>
        <w:spacing w:after="0" w:line="240" w:lineRule="auto"/>
        <w:jc w:val="center"/>
        <w:rPr>
          <w:b/>
        </w:rPr>
      </w:pPr>
    </w:p>
    <w:p w14:paraId="66937133" w14:textId="25ABEA92" w:rsidR="00216F78" w:rsidRDefault="00856A38" w:rsidP="002E6ADF">
      <w:pPr>
        <w:spacing w:after="0" w:line="240" w:lineRule="auto"/>
        <w:jc w:val="both"/>
        <w:rPr>
          <w:b/>
        </w:rPr>
      </w:pPr>
      <w:bookmarkStart w:id="0" w:name="_GoBack"/>
      <w:r>
        <w:rPr>
          <w:b/>
          <w:sz w:val="24"/>
          <w:szCs w:val="24"/>
        </w:rPr>
        <w:t xml:space="preserve">Latvijas Transportlīdzekļu apdrošinātāju biroja (turpmāk – LTAB) apkopotā statistika liecina, ka pēdējos trīs gados vidējā atlīdzība par kravas auto nodarītajiem zaudējumiem joprojām ievērojami pārsniedz vidējo atlīdzību par citu transportlīdzekļu radītajiem zaudējumiem. Tāpat būtiski pieaugusi arī vidējā atlīdzība par </w:t>
      </w:r>
      <w:proofErr w:type="spellStart"/>
      <w:r>
        <w:rPr>
          <w:b/>
          <w:sz w:val="24"/>
          <w:szCs w:val="24"/>
        </w:rPr>
        <w:t>mototransporta</w:t>
      </w:r>
      <w:proofErr w:type="spellEnd"/>
      <w:r>
        <w:rPr>
          <w:b/>
          <w:sz w:val="24"/>
          <w:szCs w:val="24"/>
        </w:rPr>
        <w:t xml:space="preserve"> nodarītajiem bojājumiem.</w:t>
      </w:r>
      <w:bookmarkEnd w:id="0"/>
    </w:p>
    <w:p w14:paraId="28593FBA" w14:textId="18633609" w:rsidR="00152B19" w:rsidRPr="00791E9A" w:rsidRDefault="00152B19" w:rsidP="009F275F">
      <w:pPr>
        <w:spacing w:after="0" w:line="240" w:lineRule="auto"/>
        <w:jc w:val="both"/>
      </w:pPr>
    </w:p>
    <w:p w14:paraId="22C07ABD" w14:textId="41BFCCA2" w:rsidR="00A41234" w:rsidRPr="00185A7D" w:rsidRDefault="00510887" w:rsidP="00B443FF">
      <w:pPr>
        <w:spacing w:after="0" w:line="240" w:lineRule="auto"/>
        <w:ind w:right="4819"/>
        <w:jc w:val="both"/>
      </w:pPr>
      <w:r>
        <w:rPr>
          <w:noProof/>
          <w:lang w:eastAsia="lv-LV"/>
        </w:rPr>
        <w:drawing>
          <wp:anchor distT="0" distB="0" distL="114300" distR="114300" simplePos="0" relativeHeight="251658240" behindDoc="0" locked="0" layoutInCell="1" allowOverlap="1" wp14:anchorId="7EDAE89B" wp14:editId="7279C6D6">
            <wp:simplePos x="0" y="0"/>
            <wp:positionH relativeFrom="column">
              <wp:posOffset>3402965</wp:posOffset>
            </wp:positionH>
            <wp:positionV relativeFrom="paragraph">
              <wp:posOffset>44450</wp:posOffset>
            </wp:positionV>
            <wp:extent cx="2882900" cy="1905000"/>
            <wp:effectExtent l="0" t="0" r="12700" b="0"/>
            <wp:wrapNone/>
            <wp:docPr id="5" name="Chart 5">
              <a:extLst xmlns:a="http://schemas.openxmlformats.org/drawingml/2006/main">
                <a:ext uri="{FF2B5EF4-FFF2-40B4-BE49-F238E27FC236}">
                  <a16:creationId xmlns:a16="http://schemas.microsoft.com/office/drawing/2014/main" id="{9345C0DA-E011-4165-A3B6-F0E016221D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margin">
              <wp14:pctWidth>0</wp14:pctWidth>
            </wp14:sizeRelH>
            <wp14:sizeRelV relativeFrom="margin">
              <wp14:pctHeight>0</wp14:pctHeight>
            </wp14:sizeRelV>
          </wp:anchor>
        </w:drawing>
      </w:r>
      <w:r>
        <w:t>P</w:t>
      </w:r>
      <w:r w:rsidR="00856A38">
        <w:t>ēdējos trīs gados (2014. – 2016.gads)</w:t>
      </w:r>
      <w:r w:rsidR="00856A38" w:rsidRPr="00856A38">
        <w:t xml:space="preserve"> kravas transportlīdzekļi izraisījuši </w:t>
      </w:r>
      <w:r w:rsidR="00856A38">
        <w:t>19200</w:t>
      </w:r>
      <w:r w:rsidR="00856A38" w:rsidRPr="00856A38">
        <w:t xml:space="preserve"> </w:t>
      </w:r>
      <w:proofErr w:type="spellStart"/>
      <w:r w:rsidR="00856A38">
        <w:t>CSNg</w:t>
      </w:r>
      <w:proofErr w:type="spellEnd"/>
      <w:r w:rsidR="00856A38">
        <w:t xml:space="preserve">, par ko kopumā atlīdzībās izmaksāti </w:t>
      </w:r>
      <w:r w:rsidR="00375A03">
        <w:t>vairāk nekā 30 miljoni EUR. Vidējā atlīdzība par kravas auto nodarītajiem zaudējumiem sarukusi (2014.gadā – 1722 EUR, 2015.gadā – 1716 EUR, 2016.gadā – 1508 EUR), tomēr tā joprojām ir augstāka nekā vidējā atlīdzība par citu transportlīdzekļu nodarītajiem zaudējumiem,</w:t>
      </w:r>
      <w:r w:rsidR="00AD68FB">
        <w:t xml:space="preserve"> informē </w:t>
      </w:r>
      <w:r w:rsidR="00375A03">
        <w:t xml:space="preserve">LTAB </w:t>
      </w:r>
      <w:r w:rsidR="00AD68FB">
        <w:t xml:space="preserve"> valdes priekšsēdētājs Jānis Abāšin</w:t>
      </w:r>
      <w:r>
        <w:t>s:</w:t>
      </w:r>
      <w:r w:rsidR="00185A7D">
        <w:t xml:space="preserve"> </w:t>
      </w:r>
      <w:r>
        <w:t>“K</w:t>
      </w:r>
      <w:r w:rsidR="00185A7D" w:rsidRPr="00185A7D">
        <w:t>ravu pārvadātāji ir salīdzinoši vieni no bīstamākaj</w:t>
      </w:r>
      <w:r w:rsidR="00185A7D">
        <w:t xml:space="preserve">iem ceļu satiksmes dalībniekiem, </w:t>
      </w:r>
      <w:r w:rsidR="008856A5">
        <w:t xml:space="preserve">kuri turklāt arī ļoti bieži pārsvarā uzturas ārzemēs, </w:t>
      </w:r>
      <w:r w:rsidR="00185A7D">
        <w:t xml:space="preserve">tādēļ </w:t>
      </w:r>
      <w:r w:rsidR="00185A7D" w:rsidRPr="00185A7D">
        <w:t>arī OCTA cen</w:t>
      </w:r>
      <w:r w:rsidR="008856A5">
        <w:t>a</w:t>
      </w:r>
      <w:r w:rsidR="00185A7D" w:rsidRPr="00185A7D">
        <w:t xml:space="preserve"> </w:t>
      </w:r>
      <w:r w:rsidR="008856A5">
        <w:t xml:space="preserve">tiem </w:t>
      </w:r>
      <w:r w:rsidR="00185A7D" w:rsidRPr="00185A7D">
        <w:t>parasti ir daudz augstāka kā pārējiem transportlīdzekļiem</w:t>
      </w:r>
      <w:r w:rsidR="008856A5">
        <w:t>.”</w:t>
      </w:r>
    </w:p>
    <w:p w14:paraId="58FC28FC" w14:textId="24FE1318" w:rsidR="00B443FF" w:rsidRDefault="00510887" w:rsidP="00A41234">
      <w:pPr>
        <w:spacing w:after="0" w:line="240" w:lineRule="auto"/>
        <w:jc w:val="both"/>
      </w:pPr>
      <w:r>
        <w:rPr>
          <w:noProof/>
          <w:lang w:eastAsia="lv-LV"/>
        </w:rPr>
        <w:drawing>
          <wp:anchor distT="0" distB="0" distL="114300" distR="114300" simplePos="0" relativeHeight="251659264" behindDoc="0" locked="0" layoutInCell="1" allowOverlap="1" wp14:anchorId="3DC42821" wp14:editId="192D5025">
            <wp:simplePos x="0" y="0"/>
            <wp:positionH relativeFrom="column">
              <wp:posOffset>3402965</wp:posOffset>
            </wp:positionH>
            <wp:positionV relativeFrom="paragraph">
              <wp:posOffset>95250</wp:posOffset>
            </wp:positionV>
            <wp:extent cx="2882900" cy="1841500"/>
            <wp:effectExtent l="0" t="0" r="12700" b="6350"/>
            <wp:wrapNone/>
            <wp:docPr id="8" name="Chart 8">
              <a:extLst xmlns:a="http://schemas.openxmlformats.org/drawingml/2006/main">
                <a:ext uri="{FF2B5EF4-FFF2-40B4-BE49-F238E27FC236}">
                  <a16:creationId xmlns:a16="http://schemas.microsoft.com/office/drawing/2014/main" id="{9345C0DA-E011-4165-A3B6-F0E016221D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113FAEF6" w14:textId="26D3FDC6" w:rsidR="00AD68FB" w:rsidRDefault="00375A03" w:rsidP="00185A7D">
      <w:pPr>
        <w:spacing w:after="0" w:line="240" w:lineRule="auto"/>
        <w:ind w:right="4819"/>
        <w:jc w:val="both"/>
      </w:pPr>
      <w:r>
        <w:t>Pēdējos trīs gados pieaug</w:t>
      </w:r>
      <w:r w:rsidR="00185A7D">
        <w:t>usi</w:t>
      </w:r>
      <w:r>
        <w:t xml:space="preserve"> vidējā atlīdzība par </w:t>
      </w:r>
      <w:proofErr w:type="spellStart"/>
      <w:r>
        <w:t>mototransporta</w:t>
      </w:r>
      <w:proofErr w:type="spellEnd"/>
      <w:r>
        <w:t xml:space="preserve"> līdzekļu nodarītajiem zaudējumiem. Ja 2014.gadā </w:t>
      </w:r>
      <w:proofErr w:type="spellStart"/>
      <w:r>
        <w:t>mototransporta</w:t>
      </w:r>
      <w:proofErr w:type="spellEnd"/>
      <w:r>
        <w:t xml:space="preserve"> līdzekļi kopumā izraisīja 221 </w:t>
      </w:r>
      <w:proofErr w:type="spellStart"/>
      <w:r>
        <w:t>CSNg</w:t>
      </w:r>
      <w:proofErr w:type="spellEnd"/>
      <w:r>
        <w:t xml:space="preserve"> un vidējā atlīdzība bija 965 EUR, 2015.gadā 257 </w:t>
      </w:r>
      <w:proofErr w:type="spellStart"/>
      <w:r>
        <w:t>CSNg</w:t>
      </w:r>
      <w:proofErr w:type="spellEnd"/>
      <w:r>
        <w:t xml:space="preserve"> ar vidējo atlīdzību 1013 EUR, tad pērn tie bija 234 </w:t>
      </w:r>
      <w:proofErr w:type="spellStart"/>
      <w:r>
        <w:t>CSNg</w:t>
      </w:r>
      <w:proofErr w:type="spellEnd"/>
      <w:r>
        <w:t xml:space="preserve"> ar vidējo atlīdzību 1315 EUR. </w:t>
      </w:r>
      <w:r w:rsidR="00185A7D">
        <w:t xml:space="preserve">“Jāsecina, ka </w:t>
      </w:r>
      <w:proofErr w:type="spellStart"/>
      <w:r w:rsidR="00185A7D">
        <w:t>mototransporta</w:t>
      </w:r>
      <w:proofErr w:type="spellEnd"/>
      <w:r w:rsidR="00185A7D">
        <w:t xml:space="preserve"> līdzekļu </w:t>
      </w:r>
      <w:r w:rsidR="008856A5">
        <w:t>skaits pēdējos gados samērā strauji aug</w:t>
      </w:r>
      <w:r w:rsidR="00DA3080">
        <w:t>,</w:t>
      </w:r>
      <w:r w:rsidR="008856A5">
        <w:t xml:space="preserve"> un tādēļ arī palielinās varbūtība izraisīt </w:t>
      </w:r>
      <w:proofErr w:type="spellStart"/>
      <w:r w:rsidR="00185A7D">
        <w:t>CSNg</w:t>
      </w:r>
      <w:proofErr w:type="spellEnd"/>
      <w:r w:rsidR="00185A7D">
        <w:t xml:space="preserve"> ar smagākām sekām un lielāk</w:t>
      </w:r>
      <w:r w:rsidR="008856A5">
        <w:t>iem</w:t>
      </w:r>
      <w:r w:rsidR="00185A7D">
        <w:t xml:space="preserve"> zaudējum</w:t>
      </w:r>
      <w:r w:rsidR="008856A5">
        <w:t>iem</w:t>
      </w:r>
      <w:r w:rsidR="00185A7D">
        <w:t xml:space="preserve">,” skaidro </w:t>
      </w:r>
      <w:proofErr w:type="spellStart"/>
      <w:r w:rsidR="00185A7D">
        <w:t>J.Abāšins</w:t>
      </w:r>
      <w:proofErr w:type="spellEnd"/>
      <w:r w:rsidR="00185A7D">
        <w:t>.</w:t>
      </w:r>
    </w:p>
    <w:p w14:paraId="5DBCFB6C" w14:textId="434644F2" w:rsidR="00B443FF" w:rsidRDefault="00B443FF" w:rsidP="00B443FF">
      <w:pPr>
        <w:spacing w:after="0" w:line="240" w:lineRule="auto"/>
        <w:ind w:right="4819"/>
        <w:jc w:val="both"/>
      </w:pPr>
    </w:p>
    <w:p w14:paraId="2E71623E" w14:textId="54436ED3" w:rsidR="00375A03" w:rsidRDefault="00185A7D" w:rsidP="00B443FF">
      <w:pPr>
        <w:spacing w:after="0" w:line="240" w:lineRule="auto"/>
        <w:ind w:right="4819"/>
        <w:jc w:val="both"/>
      </w:pPr>
      <w:r>
        <w:rPr>
          <w:noProof/>
          <w:lang w:eastAsia="lv-LV"/>
        </w:rPr>
        <w:drawing>
          <wp:anchor distT="0" distB="0" distL="114300" distR="114300" simplePos="0" relativeHeight="251660288" behindDoc="0" locked="0" layoutInCell="1" allowOverlap="1" wp14:anchorId="012F783E" wp14:editId="4D3829C3">
            <wp:simplePos x="0" y="0"/>
            <wp:positionH relativeFrom="column">
              <wp:posOffset>3402965</wp:posOffset>
            </wp:positionH>
            <wp:positionV relativeFrom="paragraph">
              <wp:posOffset>35560</wp:posOffset>
            </wp:positionV>
            <wp:extent cx="2895600" cy="1828800"/>
            <wp:effectExtent l="0" t="0" r="0" b="0"/>
            <wp:wrapNone/>
            <wp:docPr id="9" name="Chart 9">
              <a:extLst xmlns:a="http://schemas.openxmlformats.org/drawingml/2006/main">
                <a:ext uri="{FF2B5EF4-FFF2-40B4-BE49-F238E27FC236}">
                  <a16:creationId xmlns:a16="http://schemas.microsoft.com/office/drawing/2014/main" id="{9345C0DA-E011-4165-A3B6-F0E016221D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r w:rsidR="00375A03">
        <w:t xml:space="preserve">Tikmēr, neskatoties uz ievērojamu izraisīto </w:t>
      </w:r>
      <w:proofErr w:type="spellStart"/>
      <w:r w:rsidR="00375A03">
        <w:t>CSNg</w:t>
      </w:r>
      <w:proofErr w:type="spellEnd"/>
      <w:r w:rsidR="00375A03">
        <w:t xml:space="preserve"> skaita pieaugumu, </w:t>
      </w:r>
      <w:r w:rsidR="00B76A9A">
        <w:t xml:space="preserve">būtiski </w:t>
      </w:r>
      <w:r w:rsidR="00375A03">
        <w:t xml:space="preserve">sarukusi vidējā atlīdzība par traktortehnikas nodarītajiem zaudējumiem. 2014.gadā traktortehnikas izraisīto </w:t>
      </w:r>
      <w:proofErr w:type="spellStart"/>
      <w:r w:rsidR="00375A03">
        <w:t>CSNg</w:t>
      </w:r>
      <w:proofErr w:type="spellEnd"/>
      <w:r w:rsidR="00375A03">
        <w:t xml:space="preserve"> skaits bija 165, bet vidējā atlīdzība 1534 EUR, gadu vēlāk – 197 </w:t>
      </w:r>
      <w:proofErr w:type="spellStart"/>
      <w:r w:rsidR="00375A03">
        <w:t>CSNg</w:t>
      </w:r>
      <w:proofErr w:type="spellEnd"/>
      <w:r w:rsidR="00375A03">
        <w:t xml:space="preserve"> ar vidējo atlīdzību 1452 EUR, bet pērn – 208 </w:t>
      </w:r>
      <w:proofErr w:type="spellStart"/>
      <w:r w:rsidR="00375A03">
        <w:t>CSNg</w:t>
      </w:r>
      <w:proofErr w:type="spellEnd"/>
      <w:r w:rsidR="00375A03">
        <w:t xml:space="preserve"> ar vidējo atlīdzību 1094 EUR.</w:t>
      </w:r>
      <w:r w:rsidR="00510887">
        <w:t xml:space="preserve"> “Šo tendenci, iespējams, var skaidrot ar to, ka pēdējos divos gados nav bijuši lieli </w:t>
      </w:r>
      <w:r w:rsidR="00B76A9A">
        <w:t xml:space="preserve">ar traktortehniku izraisīti </w:t>
      </w:r>
      <w:r w:rsidR="00510887">
        <w:t xml:space="preserve">negadījumi, kuros nodarīti zaudējumi cilvēku veselībai vai mantai,” stāsta </w:t>
      </w:r>
      <w:proofErr w:type="spellStart"/>
      <w:r w:rsidR="00510887">
        <w:t>J.Abāšins</w:t>
      </w:r>
      <w:proofErr w:type="spellEnd"/>
      <w:r w:rsidR="00510887">
        <w:t>.</w:t>
      </w:r>
    </w:p>
    <w:p w14:paraId="15A33BA1" w14:textId="34B81C43" w:rsidR="00575102" w:rsidRDefault="00575102" w:rsidP="00A41234">
      <w:pPr>
        <w:spacing w:after="0" w:line="240" w:lineRule="auto"/>
        <w:jc w:val="both"/>
      </w:pPr>
    </w:p>
    <w:p w14:paraId="77B008AD" w14:textId="77777777" w:rsidR="00510887" w:rsidRDefault="00510887" w:rsidP="00A41234">
      <w:pPr>
        <w:spacing w:after="0" w:line="240" w:lineRule="auto"/>
        <w:jc w:val="both"/>
      </w:pPr>
    </w:p>
    <w:p w14:paraId="188D1ABD" w14:textId="478F92E7" w:rsidR="00B443FF" w:rsidRDefault="00B443FF" w:rsidP="00A41234">
      <w:pPr>
        <w:spacing w:after="0" w:line="240" w:lineRule="auto"/>
        <w:jc w:val="both"/>
      </w:pPr>
    </w:p>
    <w:p w14:paraId="76854DE7" w14:textId="59BC22EC" w:rsidR="00575102" w:rsidRDefault="00510887" w:rsidP="00185A7D">
      <w:pPr>
        <w:spacing w:after="0" w:line="240" w:lineRule="auto"/>
        <w:ind w:right="4819"/>
        <w:jc w:val="both"/>
      </w:pPr>
      <w:r>
        <w:rPr>
          <w:noProof/>
          <w:lang w:eastAsia="lv-LV"/>
        </w:rPr>
        <w:lastRenderedPageBreak/>
        <w:drawing>
          <wp:anchor distT="0" distB="0" distL="114300" distR="114300" simplePos="0" relativeHeight="251661312" behindDoc="0" locked="0" layoutInCell="1" allowOverlap="1" wp14:anchorId="1A7291AF" wp14:editId="7C4297C1">
            <wp:simplePos x="0" y="0"/>
            <wp:positionH relativeFrom="column">
              <wp:posOffset>3460115</wp:posOffset>
            </wp:positionH>
            <wp:positionV relativeFrom="paragraph">
              <wp:posOffset>26035</wp:posOffset>
            </wp:positionV>
            <wp:extent cx="2895600" cy="1866900"/>
            <wp:effectExtent l="0" t="0" r="0" b="0"/>
            <wp:wrapNone/>
            <wp:docPr id="10" name="Chart 10">
              <a:extLst xmlns:a="http://schemas.openxmlformats.org/drawingml/2006/main">
                <a:ext uri="{FF2B5EF4-FFF2-40B4-BE49-F238E27FC236}">
                  <a16:creationId xmlns:a16="http://schemas.microsoft.com/office/drawing/2014/main" id="{9345C0DA-E011-4165-A3B6-F0E016221D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00375A03">
        <w:t xml:space="preserve">Skaitliski lielākais izraisīto </w:t>
      </w:r>
      <w:proofErr w:type="spellStart"/>
      <w:r w:rsidR="00375A03">
        <w:t>CSNg</w:t>
      </w:r>
      <w:proofErr w:type="spellEnd"/>
      <w:r w:rsidR="00375A03">
        <w:t xml:space="preserve"> īpatsvars tradicionāli ir vieglo automašīnu segmentā</w:t>
      </w:r>
      <w:r w:rsidR="0029015C">
        <w:t>, turklāt tam ir tendence pieaugt</w:t>
      </w:r>
      <w:r w:rsidR="00375A03">
        <w:t xml:space="preserve"> – 2014</w:t>
      </w:r>
      <w:r w:rsidR="00F05625">
        <w:t>.</w:t>
      </w:r>
      <w:r w:rsidR="00375A03">
        <w:t>gadā</w:t>
      </w:r>
      <w:r w:rsidR="0029015C">
        <w:t xml:space="preserve"> vieglie transportlīdzekļi izraisīja</w:t>
      </w:r>
      <w:r w:rsidR="00375A03">
        <w:t xml:space="preserve"> </w:t>
      </w:r>
      <w:r w:rsidR="00375A03" w:rsidRPr="00375A03">
        <w:t>25566</w:t>
      </w:r>
      <w:r w:rsidR="0029015C">
        <w:t xml:space="preserve"> negadījumus</w:t>
      </w:r>
      <w:r w:rsidR="00375A03">
        <w:t xml:space="preserve">, 2015.gadā </w:t>
      </w:r>
      <w:r w:rsidR="0029015C">
        <w:t>–</w:t>
      </w:r>
      <w:r w:rsidR="00375A03">
        <w:t xml:space="preserve"> </w:t>
      </w:r>
      <w:r w:rsidR="00375A03" w:rsidRPr="00375A03">
        <w:t>27767</w:t>
      </w:r>
      <w:r w:rsidR="0029015C">
        <w:t xml:space="preserve">, bet 2016.gadā </w:t>
      </w:r>
      <w:r w:rsidR="0029015C" w:rsidRPr="0029015C">
        <w:t>29721</w:t>
      </w:r>
      <w:r w:rsidR="0029015C">
        <w:t xml:space="preserve"> </w:t>
      </w:r>
      <w:proofErr w:type="spellStart"/>
      <w:r w:rsidR="0029015C">
        <w:t>CSNg</w:t>
      </w:r>
      <w:proofErr w:type="spellEnd"/>
      <w:r w:rsidR="0029015C">
        <w:t xml:space="preserve">. Tikmēr vidējā atlīdzība par vieglo auto nodarītajiem zaudējumiem nav ievērojami mainījusies – 2014.gadā – 1181 EUR, pēc gada – 1212 EUR, bet 2016.gadā – 1099 EUR. </w:t>
      </w:r>
      <w:r w:rsidR="00F05625">
        <w:t xml:space="preserve"> </w:t>
      </w:r>
    </w:p>
    <w:p w14:paraId="1155BEF6" w14:textId="218B9A38" w:rsidR="00510887" w:rsidRDefault="00510887" w:rsidP="00185A7D">
      <w:pPr>
        <w:spacing w:after="0" w:line="240" w:lineRule="auto"/>
        <w:ind w:right="4819"/>
        <w:jc w:val="both"/>
      </w:pPr>
    </w:p>
    <w:p w14:paraId="03A80853" w14:textId="6054118C" w:rsidR="00510887" w:rsidRDefault="00510887" w:rsidP="00185A7D">
      <w:pPr>
        <w:spacing w:after="0" w:line="240" w:lineRule="auto"/>
        <w:ind w:right="4819"/>
        <w:jc w:val="both"/>
      </w:pPr>
    </w:p>
    <w:p w14:paraId="143206F2" w14:textId="77777777" w:rsidR="00510887" w:rsidRDefault="00510887" w:rsidP="00185A7D">
      <w:pPr>
        <w:spacing w:after="0" w:line="240" w:lineRule="auto"/>
        <w:ind w:right="4819"/>
        <w:jc w:val="both"/>
      </w:pPr>
    </w:p>
    <w:p w14:paraId="2258A91B" w14:textId="283AEDCC" w:rsidR="00575102" w:rsidRDefault="00575102" w:rsidP="00A41234">
      <w:pPr>
        <w:spacing w:after="0" w:line="240" w:lineRule="auto"/>
        <w:jc w:val="both"/>
      </w:pPr>
    </w:p>
    <w:p w14:paraId="029FB926" w14:textId="4893733C" w:rsidR="00B443FF" w:rsidRDefault="00F05625" w:rsidP="00185A7D">
      <w:pPr>
        <w:spacing w:after="0" w:line="240" w:lineRule="auto"/>
        <w:ind w:right="4819"/>
        <w:jc w:val="both"/>
      </w:pPr>
      <w:r>
        <w:rPr>
          <w:noProof/>
          <w:lang w:eastAsia="lv-LV"/>
        </w:rPr>
        <w:drawing>
          <wp:anchor distT="0" distB="0" distL="114300" distR="114300" simplePos="0" relativeHeight="251663360" behindDoc="0" locked="0" layoutInCell="1" allowOverlap="1" wp14:anchorId="5ED9BBBA" wp14:editId="56E842CA">
            <wp:simplePos x="0" y="0"/>
            <wp:positionH relativeFrom="column">
              <wp:posOffset>3434715</wp:posOffset>
            </wp:positionH>
            <wp:positionV relativeFrom="paragraph">
              <wp:posOffset>1825625</wp:posOffset>
            </wp:positionV>
            <wp:extent cx="2882900" cy="1651000"/>
            <wp:effectExtent l="0" t="0" r="12700" b="6350"/>
            <wp:wrapNone/>
            <wp:docPr id="2" name="Chart 2">
              <a:extLst xmlns:a="http://schemas.openxmlformats.org/drawingml/2006/main">
                <a:ext uri="{FF2B5EF4-FFF2-40B4-BE49-F238E27FC236}">
                  <a16:creationId xmlns:a16="http://schemas.microsoft.com/office/drawing/2014/main" id="{9345C0DA-E011-4165-A3B6-F0E016221D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r w:rsidR="00185A7D">
        <w:rPr>
          <w:noProof/>
          <w:lang w:eastAsia="lv-LV"/>
        </w:rPr>
        <w:drawing>
          <wp:anchor distT="0" distB="0" distL="114300" distR="114300" simplePos="0" relativeHeight="251662336" behindDoc="0" locked="0" layoutInCell="1" allowOverlap="1" wp14:anchorId="3041515A" wp14:editId="5E9D3A66">
            <wp:simplePos x="0" y="0"/>
            <wp:positionH relativeFrom="column">
              <wp:posOffset>3434715</wp:posOffset>
            </wp:positionH>
            <wp:positionV relativeFrom="paragraph">
              <wp:posOffset>-5715</wp:posOffset>
            </wp:positionV>
            <wp:extent cx="2882900" cy="1733550"/>
            <wp:effectExtent l="0" t="0" r="12700" b="0"/>
            <wp:wrapNone/>
            <wp:docPr id="11" name="Chart 11">
              <a:extLst xmlns:a="http://schemas.openxmlformats.org/drawingml/2006/main">
                <a:ext uri="{FF2B5EF4-FFF2-40B4-BE49-F238E27FC236}">
                  <a16:creationId xmlns:a16="http://schemas.microsoft.com/office/drawing/2014/main" id="{9345C0DA-E011-4165-A3B6-F0E016221D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r w:rsidR="0029015C">
        <w:t xml:space="preserve">Salīdzinoši liels ir vidējās atlīdzības īpatsvars par tramvaju un trolejbusu izraisītajiem zaudējumiem. 2014.gadā vidējā atlīdzība par šo transportlīdzekļu nodarītajiem zaudējumiem bija 1321 EUR, 2015.gadā – 609 EUR, 2016.gadā 1272 EUR. Jāatzīmē, ka 2017.gada 3 mēnešos tramvaji un trolejbusi izraisījuši 7 </w:t>
      </w:r>
      <w:proofErr w:type="spellStart"/>
      <w:r w:rsidR="0029015C">
        <w:t>CSNg</w:t>
      </w:r>
      <w:proofErr w:type="spellEnd"/>
      <w:r w:rsidR="0029015C">
        <w:t>, bet vidējās atlīdzības apjoms uz vienu negadījumu ir 1662 EUR.</w:t>
      </w:r>
      <w:r>
        <w:t xml:space="preserve"> Savukārt a</w:t>
      </w:r>
      <w:r w:rsidR="00B443FF">
        <w:t xml:space="preserve">utobusu segmentā izraisīto </w:t>
      </w:r>
      <w:proofErr w:type="spellStart"/>
      <w:r w:rsidR="00B443FF">
        <w:t>CSNg</w:t>
      </w:r>
      <w:proofErr w:type="spellEnd"/>
      <w:r w:rsidR="00B443FF">
        <w:t xml:space="preserve"> skaits un vidējā atlīdzība palikusi salīdzinoši nemainīga – 2014.gadā autobusi izraisījuši 490 </w:t>
      </w:r>
      <w:proofErr w:type="spellStart"/>
      <w:r w:rsidR="00B443FF">
        <w:t>CSNg</w:t>
      </w:r>
      <w:proofErr w:type="spellEnd"/>
      <w:r w:rsidR="00B443FF">
        <w:t xml:space="preserve"> ar vidējo atlīdzību 1057 EUR, 2015.gadā – 453 </w:t>
      </w:r>
      <w:proofErr w:type="spellStart"/>
      <w:r w:rsidR="00B443FF">
        <w:t>CSNg</w:t>
      </w:r>
      <w:proofErr w:type="spellEnd"/>
      <w:r w:rsidR="00B443FF">
        <w:t xml:space="preserve"> ar vidējo atlīdzību 1040 EUR, bet pērn – 477 </w:t>
      </w:r>
      <w:proofErr w:type="spellStart"/>
      <w:r w:rsidR="00B443FF">
        <w:t>CSNg</w:t>
      </w:r>
      <w:proofErr w:type="spellEnd"/>
      <w:r w:rsidR="00B443FF">
        <w:t xml:space="preserve"> ar vidējo atlīdzību 1118 EUR.</w:t>
      </w:r>
      <w:r w:rsidR="00185A7D" w:rsidRPr="00185A7D">
        <w:rPr>
          <w:noProof/>
          <w:lang w:eastAsia="en-GB"/>
        </w:rPr>
        <w:t xml:space="preserve"> </w:t>
      </w:r>
    </w:p>
    <w:p w14:paraId="3FF767E5" w14:textId="6465688A" w:rsidR="00B443FF" w:rsidRDefault="00B443FF" w:rsidP="00A41234">
      <w:pPr>
        <w:spacing w:after="0" w:line="240" w:lineRule="auto"/>
        <w:jc w:val="both"/>
      </w:pPr>
    </w:p>
    <w:p w14:paraId="3439A9F3" w14:textId="0E9EBF45" w:rsidR="00B443FF" w:rsidRDefault="00B443FF" w:rsidP="00A41234">
      <w:pPr>
        <w:spacing w:after="0" w:line="240" w:lineRule="auto"/>
        <w:jc w:val="both"/>
      </w:pPr>
    </w:p>
    <w:p w14:paraId="1BF2DDCE" w14:textId="4BEA58BC" w:rsidR="00CE1D80" w:rsidRDefault="00CE1D80" w:rsidP="009F275F">
      <w:pPr>
        <w:spacing w:after="0" w:line="240" w:lineRule="auto"/>
        <w:jc w:val="both"/>
      </w:pPr>
    </w:p>
    <w:p w14:paraId="785AFA89" w14:textId="3B225058" w:rsidR="00185A7D" w:rsidRDefault="00185A7D" w:rsidP="009F275F">
      <w:pPr>
        <w:spacing w:after="0" w:line="240" w:lineRule="auto"/>
        <w:jc w:val="both"/>
      </w:pPr>
    </w:p>
    <w:p w14:paraId="2E71044E" w14:textId="2ACBF47F" w:rsidR="00185A7D" w:rsidRDefault="00185A7D" w:rsidP="009F275F">
      <w:pPr>
        <w:spacing w:after="0" w:line="240" w:lineRule="auto"/>
        <w:jc w:val="both"/>
      </w:pPr>
    </w:p>
    <w:p w14:paraId="6D6F6A58" w14:textId="1686F86F" w:rsidR="00F05625" w:rsidRDefault="00F05625" w:rsidP="009F275F">
      <w:pPr>
        <w:spacing w:after="0" w:line="240" w:lineRule="auto"/>
        <w:jc w:val="both"/>
      </w:pPr>
    </w:p>
    <w:p w14:paraId="52F57FDB" w14:textId="2F36E3FA" w:rsidR="00F05625" w:rsidRDefault="00F05625" w:rsidP="009F275F">
      <w:pPr>
        <w:spacing w:after="0" w:line="240" w:lineRule="auto"/>
        <w:jc w:val="both"/>
      </w:pPr>
    </w:p>
    <w:p w14:paraId="67D4CB7B" w14:textId="698F0978" w:rsidR="00F05625" w:rsidRDefault="00F05625" w:rsidP="009F275F">
      <w:pPr>
        <w:spacing w:after="0" w:line="240" w:lineRule="auto"/>
        <w:jc w:val="both"/>
      </w:pPr>
    </w:p>
    <w:p w14:paraId="2F6B2DFE" w14:textId="77777777" w:rsidR="00F05625" w:rsidRPr="00791E9A" w:rsidRDefault="00F05625" w:rsidP="009F275F">
      <w:pPr>
        <w:spacing w:after="0" w:line="240" w:lineRule="auto"/>
        <w:jc w:val="both"/>
      </w:pPr>
    </w:p>
    <w:p w14:paraId="1179F2F7" w14:textId="21EBE479" w:rsidR="005E74C5" w:rsidRPr="00791E9A" w:rsidRDefault="005E74C5" w:rsidP="001655C5">
      <w:pPr>
        <w:spacing w:after="0" w:line="240" w:lineRule="auto"/>
        <w:jc w:val="both"/>
      </w:pPr>
      <w:r w:rsidRPr="00791E9A">
        <w:t xml:space="preserve">1997. gadā Latvijā tika ieviesta OCTA sistēma, kuras mērķis ir nodrošināt ceļu satiksmes negadījumā cietušo trešo personu interešu aizsardzību Latvijā un Zaļās kartes dalībvalstīs. Sistēmas sekmīgākai darbības nodrošināšanai ir izveidots LTAB, kurā apvienojušās apdrošināšanas sabiedrības, kurām ir tiesības veikt OCTA apdrošināšanu Latvijā – AAS “Balta”, AAS “Baltijas Apdrošināšanas Nams”, </w:t>
      </w:r>
      <w:r w:rsidR="002D1D89">
        <w:t>“</w:t>
      </w:r>
      <w:proofErr w:type="spellStart"/>
      <w:r w:rsidR="002D1D89">
        <w:t>InterRisk</w:t>
      </w:r>
      <w:proofErr w:type="spellEnd"/>
      <w:r w:rsidR="002D1D89">
        <w:t xml:space="preserve"> </w:t>
      </w:r>
      <w:proofErr w:type="spellStart"/>
      <w:r w:rsidR="002D1D89">
        <w:t>Vienna</w:t>
      </w:r>
      <w:proofErr w:type="spellEnd"/>
      <w:r w:rsidR="002D1D89">
        <w:t xml:space="preserve"> </w:t>
      </w:r>
      <w:proofErr w:type="spellStart"/>
      <w:r w:rsidR="002D1D89">
        <w:t>Insurance</w:t>
      </w:r>
      <w:proofErr w:type="spellEnd"/>
      <w:r w:rsidR="002D1D89">
        <w:t xml:space="preserve"> </w:t>
      </w:r>
      <w:proofErr w:type="spellStart"/>
      <w:r w:rsidR="002D1D89">
        <w:t>Group</w:t>
      </w:r>
      <w:proofErr w:type="spellEnd"/>
      <w:r w:rsidR="002D1D89">
        <w:t>” AAS</w:t>
      </w:r>
      <w:r w:rsidRPr="00791E9A">
        <w:t xml:space="preserve">, AAS “BTA </w:t>
      </w:r>
      <w:proofErr w:type="spellStart"/>
      <w:r w:rsidRPr="00791E9A">
        <w:t>Baltic</w:t>
      </w:r>
      <w:proofErr w:type="spellEnd"/>
      <w:r w:rsidRPr="00791E9A">
        <w:t xml:space="preserve"> </w:t>
      </w:r>
      <w:proofErr w:type="spellStart"/>
      <w:r w:rsidRPr="00791E9A">
        <w:t>Insurance</w:t>
      </w:r>
      <w:proofErr w:type="spellEnd"/>
      <w:r w:rsidRPr="00791E9A">
        <w:t xml:space="preserve"> </w:t>
      </w:r>
      <w:proofErr w:type="spellStart"/>
      <w:r w:rsidRPr="00791E9A">
        <w:t>Company</w:t>
      </w:r>
      <w:proofErr w:type="spellEnd"/>
      <w:r w:rsidRPr="00791E9A">
        <w:t>”, “</w:t>
      </w:r>
      <w:proofErr w:type="spellStart"/>
      <w:r w:rsidRPr="00791E9A">
        <w:t>Co</w:t>
      </w:r>
      <w:r w:rsidR="002A03F7">
        <w:t>mpensa</w:t>
      </w:r>
      <w:proofErr w:type="spellEnd"/>
      <w:r w:rsidR="002A03F7">
        <w:t xml:space="preserve"> </w:t>
      </w:r>
      <w:proofErr w:type="spellStart"/>
      <w:r w:rsidR="002A03F7">
        <w:t>Vienna</w:t>
      </w:r>
      <w:proofErr w:type="spellEnd"/>
      <w:r w:rsidR="002A03F7">
        <w:t xml:space="preserve"> </w:t>
      </w:r>
      <w:proofErr w:type="spellStart"/>
      <w:r w:rsidR="002A03F7">
        <w:t>Insurance</w:t>
      </w:r>
      <w:proofErr w:type="spellEnd"/>
      <w:r w:rsidR="002A03F7">
        <w:t xml:space="preserve"> </w:t>
      </w:r>
      <w:proofErr w:type="spellStart"/>
      <w:r w:rsidR="002A03F7">
        <w:t>Group</w:t>
      </w:r>
      <w:proofErr w:type="spellEnd"/>
      <w:r w:rsidR="002A03F7">
        <w:t xml:space="preserve">” </w:t>
      </w:r>
      <w:r w:rsidRPr="00791E9A">
        <w:t xml:space="preserve">ADB Latvijas filiāle, “ERGO </w:t>
      </w:r>
      <w:proofErr w:type="spellStart"/>
      <w:r w:rsidRPr="00791E9A">
        <w:t>Insurance</w:t>
      </w:r>
      <w:proofErr w:type="spellEnd"/>
      <w:r w:rsidRPr="00791E9A">
        <w:t>” SE Latvijas filiāle, A</w:t>
      </w:r>
      <w:r w:rsidR="000A24A2" w:rsidRPr="00791E9A">
        <w:t>DB</w:t>
      </w:r>
      <w:r w:rsidRPr="00791E9A">
        <w:t xml:space="preserve"> “</w:t>
      </w:r>
      <w:proofErr w:type="spellStart"/>
      <w:r w:rsidRPr="00791E9A">
        <w:t>Gjensidige</w:t>
      </w:r>
      <w:proofErr w:type="spellEnd"/>
      <w:r w:rsidRPr="00791E9A">
        <w:t>”</w:t>
      </w:r>
      <w:r w:rsidR="000A24A2" w:rsidRPr="00791E9A">
        <w:t xml:space="preserve"> Latvijas filiāle</w:t>
      </w:r>
      <w:r w:rsidRPr="00791E9A">
        <w:t>, “</w:t>
      </w:r>
      <w:proofErr w:type="spellStart"/>
      <w:r w:rsidRPr="00791E9A">
        <w:t>If</w:t>
      </w:r>
      <w:proofErr w:type="spellEnd"/>
      <w:r w:rsidRPr="00791E9A">
        <w:t xml:space="preserve"> P&amp;C </w:t>
      </w:r>
      <w:proofErr w:type="spellStart"/>
      <w:r w:rsidRPr="00791E9A">
        <w:t>Insurance</w:t>
      </w:r>
      <w:proofErr w:type="spellEnd"/>
      <w:r w:rsidRPr="00791E9A">
        <w:t>” AS Latvijas filiāle, “</w:t>
      </w:r>
      <w:proofErr w:type="spellStart"/>
      <w:r w:rsidRPr="00791E9A">
        <w:t>Seesam</w:t>
      </w:r>
      <w:proofErr w:type="spellEnd"/>
      <w:r w:rsidRPr="00791E9A">
        <w:t xml:space="preserve"> </w:t>
      </w:r>
      <w:proofErr w:type="spellStart"/>
      <w:r w:rsidRPr="00791E9A">
        <w:t>Insurance</w:t>
      </w:r>
      <w:proofErr w:type="spellEnd"/>
      <w:r w:rsidRPr="00791E9A">
        <w:t>” AS Latvijas filiāle un “</w:t>
      </w:r>
      <w:proofErr w:type="spellStart"/>
      <w:r w:rsidRPr="00791E9A">
        <w:t>Swedbank</w:t>
      </w:r>
      <w:proofErr w:type="spellEnd"/>
      <w:r w:rsidRPr="00791E9A">
        <w:t xml:space="preserve"> P&amp;C </w:t>
      </w:r>
      <w:proofErr w:type="spellStart"/>
      <w:r w:rsidRPr="00791E9A">
        <w:t>Insurance</w:t>
      </w:r>
      <w:proofErr w:type="spellEnd"/>
      <w:r w:rsidRPr="00791E9A">
        <w:t>” AS Latvijas filiāle.</w:t>
      </w:r>
    </w:p>
    <w:p w14:paraId="6D39FAEA" w14:textId="645BDFE9" w:rsidR="00E36F7D" w:rsidRPr="00791E9A" w:rsidRDefault="00E36F7D" w:rsidP="001655C5">
      <w:pPr>
        <w:spacing w:after="0" w:line="240" w:lineRule="auto"/>
        <w:jc w:val="both"/>
      </w:pPr>
    </w:p>
    <w:p w14:paraId="303C4955" w14:textId="77777777" w:rsidR="00E21F46" w:rsidRPr="00791E9A" w:rsidRDefault="00E21F46" w:rsidP="001655C5">
      <w:pPr>
        <w:spacing w:after="0" w:line="240" w:lineRule="auto"/>
        <w:jc w:val="right"/>
      </w:pPr>
      <w:r w:rsidRPr="00791E9A">
        <w:t xml:space="preserve">Informāciju sagatavoja: </w:t>
      </w:r>
    </w:p>
    <w:p w14:paraId="526C2FC9" w14:textId="0A4884CF" w:rsidR="001A142C" w:rsidRPr="00791E9A" w:rsidRDefault="00E21F46" w:rsidP="001655C5">
      <w:pPr>
        <w:spacing w:after="0" w:line="240" w:lineRule="auto"/>
        <w:jc w:val="right"/>
      </w:pPr>
      <w:r w:rsidRPr="00791E9A">
        <w:t>LTAB sabiedrisko attiecību konsultants</w:t>
      </w:r>
      <w:r w:rsidR="00BD296D" w:rsidRPr="00791E9A">
        <w:t xml:space="preserve"> </w:t>
      </w:r>
      <w:r w:rsidR="00EF5DC3" w:rsidRPr="00791E9A">
        <w:t xml:space="preserve"> </w:t>
      </w:r>
    </w:p>
    <w:p w14:paraId="18CF898F" w14:textId="01A28245" w:rsidR="00E21F46" w:rsidRPr="00791E9A" w:rsidRDefault="00E21F46" w:rsidP="001655C5">
      <w:pPr>
        <w:spacing w:after="0" w:line="240" w:lineRule="auto"/>
        <w:jc w:val="right"/>
      </w:pPr>
      <w:r w:rsidRPr="00791E9A">
        <w:t>Gints Lazdiņš</w:t>
      </w:r>
    </w:p>
    <w:p w14:paraId="6CDD01EC" w14:textId="77777777" w:rsidR="00E21F46" w:rsidRPr="00791E9A" w:rsidRDefault="00E21F46" w:rsidP="001655C5">
      <w:pPr>
        <w:spacing w:after="0" w:line="240" w:lineRule="auto"/>
        <w:jc w:val="right"/>
      </w:pPr>
      <w:proofErr w:type="spellStart"/>
      <w:r w:rsidRPr="00791E9A">
        <w:t>Tālr</w:t>
      </w:r>
      <w:proofErr w:type="spellEnd"/>
      <w:r w:rsidRPr="00791E9A">
        <w:t xml:space="preserve">: +371 29442282 </w:t>
      </w:r>
    </w:p>
    <w:p w14:paraId="5F650DCA" w14:textId="3C2A04A4" w:rsidR="00DF5C64" w:rsidRPr="00791E9A" w:rsidRDefault="00E21F46" w:rsidP="00A17E15">
      <w:pPr>
        <w:spacing w:after="0" w:line="240" w:lineRule="auto"/>
        <w:jc w:val="right"/>
      </w:pPr>
      <w:r w:rsidRPr="00791E9A">
        <w:t xml:space="preserve">E-pasts: </w:t>
      </w:r>
      <w:hyperlink r:id="rId13" w:history="1">
        <w:r w:rsidR="00A17E15" w:rsidRPr="00791E9A">
          <w:rPr>
            <w:rStyle w:val="Hyperlink"/>
          </w:rPr>
          <w:t>gints@olsen.lv</w:t>
        </w:r>
      </w:hyperlink>
      <w:r w:rsidR="00A17E15" w:rsidRPr="00791E9A">
        <w:t xml:space="preserve"> </w:t>
      </w:r>
    </w:p>
    <w:sectPr w:rsidR="00DF5C64" w:rsidRPr="00791E9A" w:rsidSect="00510887">
      <w:headerReference w:type="default" r:id="rId14"/>
      <w:footerReference w:type="default" r:id="rId15"/>
      <w:pgSz w:w="11906" w:h="16838"/>
      <w:pgMar w:top="709" w:right="1133" w:bottom="1560" w:left="85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1F46A0" w14:textId="77777777" w:rsidR="00CA6200" w:rsidRDefault="00CA6200" w:rsidP="00C62AF7">
      <w:pPr>
        <w:spacing w:after="0" w:line="240" w:lineRule="auto"/>
      </w:pPr>
      <w:r>
        <w:separator/>
      </w:r>
    </w:p>
  </w:endnote>
  <w:endnote w:type="continuationSeparator" w:id="0">
    <w:p w14:paraId="28F8DF25" w14:textId="77777777" w:rsidR="00CA6200" w:rsidRDefault="00CA6200" w:rsidP="00C62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368EF" w14:textId="77777777" w:rsidR="00833B2A" w:rsidRDefault="00833B2A" w:rsidP="00C62AF7">
    <w:pPr>
      <w:pStyle w:val="Footer"/>
      <w:jc w:val="center"/>
    </w:pPr>
    <w:r>
      <w:rPr>
        <w:noProof/>
        <w:lang w:eastAsia="lv-LV"/>
      </w:rPr>
      <mc:AlternateContent>
        <mc:Choice Requires="wps">
          <w:drawing>
            <wp:anchor distT="0" distB="0" distL="114300" distR="114300" simplePos="0" relativeHeight="251658752" behindDoc="0" locked="0" layoutInCell="1" allowOverlap="1" wp14:anchorId="0F781596" wp14:editId="0CE0D544">
              <wp:simplePos x="0" y="0"/>
              <wp:positionH relativeFrom="column">
                <wp:posOffset>-304454</wp:posOffset>
              </wp:positionH>
              <wp:positionV relativeFrom="paragraph">
                <wp:posOffset>57612</wp:posOffset>
              </wp:positionV>
              <wp:extent cx="6716684" cy="8313"/>
              <wp:effectExtent l="0" t="0" r="27305" b="29845"/>
              <wp:wrapNone/>
              <wp:docPr id="1" name="Straight Connector 1"/>
              <wp:cNvGraphicFramePr/>
              <a:graphic xmlns:a="http://schemas.openxmlformats.org/drawingml/2006/main">
                <a:graphicData uri="http://schemas.microsoft.com/office/word/2010/wordprocessingShape">
                  <wps:wsp>
                    <wps:cNvCnPr/>
                    <wps:spPr>
                      <a:xfrm>
                        <a:off x="0" y="0"/>
                        <a:ext cx="6716684" cy="8313"/>
                      </a:xfrm>
                      <a:prstGeom prst="line">
                        <a:avLst/>
                      </a:prstGeom>
                      <a:ln w="19050">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300E467" id="Straight Connector 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23.95pt,4.55pt" to="50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" strokecolor="#a5a5a5 [2092]" strokeweight="1.5pt"/>
          </w:pict>
        </mc:Fallback>
      </mc:AlternateContent>
    </w:r>
  </w:p>
  <w:p w14:paraId="265D50DF" w14:textId="77777777" w:rsidR="00833B2A" w:rsidRDefault="00833B2A" w:rsidP="00C62AF7">
    <w:pPr>
      <w:pStyle w:val="Footer"/>
      <w:jc w:val="center"/>
    </w:pPr>
    <w:r>
      <w:object w:dxaOrig="9042" w:dyaOrig="462" w14:anchorId="286246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4.4pt;height:20.05pt">
          <v:imagedata r:id="rId1" o:title=""/>
        </v:shape>
        <o:OLEObject Type="Embed" ProgID="CorelDraw.Graphic.17" ShapeID="_x0000_i1026" DrawAspect="Content" ObjectID="_1554528632" r:id="rId2"/>
      </w:object>
    </w:r>
  </w:p>
  <w:p w14:paraId="64F44FC1" w14:textId="77777777" w:rsidR="00833B2A" w:rsidRDefault="00833B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7BFBCD" w14:textId="77777777" w:rsidR="00CA6200" w:rsidRDefault="00CA6200" w:rsidP="00C62AF7">
      <w:pPr>
        <w:spacing w:after="0" w:line="240" w:lineRule="auto"/>
      </w:pPr>
      <w:r>
        <w:separator/>
      </w:r>
    </w:p>
  </w:footnote>
  <w:footnote w:type="continuationSeparator" w:id="0">
    <w:p w14:paraId="00D4E2A2" w14:textId="77777777" w:rsidR="00CA6200" w:rsidRDefault="00CA6200" w:rsidP="00C62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89879" w14:textId="13596C43" w:rsidR="00833B2A" w:rsidRDefault="00833B2A">
    <w:pPr>
      <w:pStyle w:val="Header"/>
    </w:pPr>
    <w:r>
      <w:object w:dxaOrig="3027" w:dyaOrig="1080" w14:anchorId="78A5E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7pt;height:47.6pt">
          <v:imagedata r:id="rId1" o:title=""/>
        </v:shape>
        <o:OLEObject Type="Embed" ProgID="CorelDraw.Graphic.17" ShapeID="_x0000_i1025" DrawAspect="Content" ObjectID="_1554528631" r:id="rId2"/>
      </w:object>
    </w:r>
  </w:p>
  <w:p w14:paraId="40EE4661" w14:textId="77777777" w:rsidR="00833B2A" w:rsidRDefault="00833B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trackRevision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F7"/>
    <w:rsid w:val="00006599"/>
    <w:rsid w:val="00010508"/>
    <w:rsid w:val="00010EF9"/>
    <w:rsid w:val="000125F1"/>
    <w:rsid w:val="00013C1F"/>
    <w:rsid w:val="00015B25"/>
    <w:rsid w:val="00016695"/>
    <w:rsid w:val="000176BE"/>
    <w:rsid w:val="00021833"/>
    <w:rsid w:val="00022C67"/>
    <w:rsid w:val="00041290"/>
    <w:rsid w:val="000435F4"/>
    <w:rsid w:val="000533E0"/>
    <w:rsid w:val="00057D56"/>
    <w:rsid w:val="0006455E"/>
    <w:rsid w:val="00070950"/>
    <w:rsid w:val="00073403"/>
    <w:rsid w:val="000745BC"/>
    <w:rsid w:val="0008000A"/>
    <w:rsid w:val="00086780"/>
    <w:rsid w:val="0008728F"/>
    <w:rsid w:val="00093197"/>
    <w:rsid w:val="000A24A2"/>
    <w:rsid w:val="000A3E9D"/>
    <w:rsid w:val="000B1FD0"/>
    <w:rsid w:val="000B7AA8"/>
    <w:rsid w:val="000C172C"/>
    <w:rsid w:val="000D007C"/>
    <w:rsid w:val="000D5F6E"/>
    <w:rsid w:val="000E5A62"/>
    <w:rsid w:val="000F0C20"/>
    <w:rsid w:val="000F34C5"/>
    <w:rsid w:val="000F368A"/>
    <w:rsid w:val="000F53A2"/>
    <w:rsid w:val="000F61C1"/>
    <w:rsid w:val="000F74EB"/>
    <w:rsid w:val="00103A6F"/>
    <w:rsid w:val="00103B45"/>
    <w:rsid w:val="00110F4A"/>
    <w:rsid w:val="001119E7"/>
    <w:rsid w:val="00112291"/>
    <w:rsid w:val="00120985"/>
    <w:rsid w:val="001340B7"/>
    <w:rsid w:val="00135E74"/>
    <w:rsid w:val="001431F7"/>
    <w:rsid w:val="001445EC"/>
    <w:rsid w:val="00145203"/>
    <w:rsid w:val="00152B19"/>
    <w:rsid w:val="00153B22"/>
    <w:rsid w:val="00154C25"/>
    <w:rsid w:val="00155CE3"/>
    <w:rsid w:val="00160E86"/>
    <w:rsid w:val="001655C5"/>
    <w:rsid w:val="00166C12"/>
    <w:rsid w:val="00171015"/>
    <w:rsid w:val="00181E1E"/>
    <w:rsid w:val="0018459B"/>
    <w:rsid w:val="001846F2"/>
    <w:rsid w:val="00184E54"/>
    <w:rsid w:val="00185A7D"/>
    <w:rsid w:val="00186FD3"/>
    <w:rsid w:val="00187964"/>
    <w:rsid w:val="001963D9"/>
    <w:rsid w:val="00196469"/>
    <w:rsid w:val="001A142C"/>
    <w:rsid w:val="001A4E17"/>
    <w:rsid w:val="001B1C72"/>
    <w:rsid w:val="001B3680"/>
    <w:rsid w:val="001C65E0"/>
    <w:rsid w:val="001C6D91"/>
    <w:rsid w:val="001C7747"/>
    <w:rsid w:val="001D3B28"/>
    <w:rsid w:val="001D6AEF"/>
    <w:rsid w:val="001D6CAF"/>
    <w:rsid w:val="001E39A7"/>
    <w:rsid w:val="001E57C6"/>
    <w:rsid w:val="001E78D1"/>
    <w:rsid w:val="001F04CB"/>
    <w:rsid w:val="001F47D8"/>
    <w:rsid w:val="001F5C43"/>
    <w:rsid w:val="002016E8"/>
    <w:rsid w:val="00205130"/>
    <w:rsid w:val="00216791"/>
    <w:rsid w:val="00216F78"/>
    <w:rsid w:val="00217E8A"/>
    <w:rsid w:val="00221376"/>
    <w:rsid w:val="002253F8"/>
    <w:rsid w:val="002279AC"/>
    <w:rsid w:val="0023449D"/>
    <w:rsid w:val="002436EF"/>
    <w:rsid w:val="00243E31"/>
    <w:rsid w:val="0024513F"/>
    <w:rsid w:val="00253CFD"/>
    <w:rsid w:val="00263392"/>
    <w:rsid w:val="002727E1"/>
    <w:rsid w:val="00273364"/>
    <w:rsid w:val="0027402E"/>
    <w:rsid w:val="00280BD4"/>
    <w:rsid w:val="00282CE2"/>
    <w:rsid w:val="0029015C"/>
    <w:rsid w:val="00292BF3"/>
    <w:rsid w:val="00296055"/>
    <w:rsid w:val="002A03F7"/>
    <w:rsid w:val="002A38DE"/>
    <w:rsid w:val="002A52FD"/>
    <w:rsid w:val="002B2FAD"/>
    <w:rsid w:val="002B58F6"/>
    <w:rsid w:val="002B7295"/>
    <w:rsid w:val="002C2CEA"/>
    <w:rsid w:val="002D1D89"/>
    <w:rsid w:val="002D25F4"/>
    <w:rsid w:val="002D32B8"/>
    <w:rsid w:val="002D3AB9"/>
    <w:rsid w:val="002D5F23"/>
    <w:rsid w:val="002E6ADF"/>
    <w:rsid w:val="002E725B"/>
    <w:rsid w:val="002F3145"/>
    <w:rsid w:val="002F389F"/>
    <w:rsid w:val="002F4D1A"/>
    <w:rsid w:val="003007EF"/>
    <w:rsid w:val="003024C6"/>
    <w:rsid w:val="00305DCF"/>
    <w:rsid w:val="00312824"/>
    <w:rsid w:val="00315828"/>
    <w:rsid w:val="00325139"/>
    <w:rsid w:val="003300CB"/>
    <w:rsid w:val="00330359"/>
    <w:rsid w:val="00334D2A"/>
    <w:rsid w:val="00335A08"/>
    <w:rsid w:val="00335E54"/>
    <w:rsid w:val="00336BE2"/>
    <w:rsid w:val="00340007"/>
    <w:rsid w:val="00345E17"/>
    <w:rsid w:val="00346FDE"/>
    <w:rsid w:val="00357F64"/>
    <w:rsid w:val="00363907"/>
    <w:rsid w:val="00375A03"/>
    <w:rsid w:val="00384B18"/>
    <w:rsid w:val="00385533"/>
    <w:rsid w:val="00386C8A"/>
    <w:rsid w:val="00390645"/>
    <w:rsid w:val="0039669D"/>
    <w:rsid w:val="00396EFB"/>
    <w:rsid w:val="00397657"/>
    <w:rsid w:val="003A520B"/>
    <w:rsid w:val="003A6799"/>
    <w:rsid w:val="003B0475"/>
    <w:rsid w:val="003B2D0B"/>
    <w:rsid w:val="003C122B"/>
    <w:rsid w:val="003D14B9"/>
    <w:rsid w:val="003D5E60"/>
    <w:rsid w:val="003E02A4"/>
    <w:rsid w:val="003E13A4"/>
    <w:rsid w:val="003E6E33"/>
    <w:rsid w:val="003F10BB"/>
    <w:rsid w:val="003F2F8C"/>
    <w:rsid w:val="003F36C2"/>
    <w:rsid w:val="003F74BF"/>
    <w:rsid w:val="00402BD0"/>
    <w:rsid w:val="00403AB9"/>
    <w:rsid w:val="004112AC"/>
    <w:rsid w:val="0041244B"/>
    <w:rsid w:val="00431C3C"/>
    <w:rsid w:val="00436DF9"/>
    <w:rsid w:val="0044242E"/>
    <w:rsid w:val="00447419"/>
    <w:rsid w:val="00451B66"/>
    <w:rsid w:val="00451BD8"/>
    <w:rsid w:val="00460A0D"/>
    <w:rsid w:val="00461B1B"/>
    <w:rsid w:val="004622DA"/>
    <w:rsid w:val="00465ED2"/>
    <w:rsid w:val="0046691C"/>
    <w:rsid w:val="00471AE6"/>
    <w:rsid w:val="00474AAB"/>
    <w:rsid w:val="00475A9E"/>
    <w:rsid w:val="00480545"/>
    <w:rsid w:val="00480708"/>
    <w:rsid w:val="004813D9"/>
    <w:rsid w:val="00484E15"/>
    <w:rsid w:val="00486439"/>
    <w:rsid w:val="00492F0D"/>
    <w:rsid w:val="004A2F78"/>
    <w:rsid w:val="004A620B"/>
    <w:rsid w:val="004A6EE1"/>
    <w:rsid w:val="004B2DA3"/>
    <w:rsid w:val="004C0D4E"/>
    <w:rsid w:val="004C32E0"/>
    <w:rsid w:val="004D059C"/>
    <w:rsid w:val="004D73A6"/>
    <w:rsid w:val="004E29C1"/>
    <w:rsid w:val="004E5C6C"/>
    <w:rsid w:val="004F1A8A"/>
    <w:rsid w:val="005008F0"/>
    <w:rsid w:val="00501B89"/>
    <w:rsid w:val="00504390"/>
    <w:rsid w:val="00506229"/>
    <w:rsid w:val="00506CDA"/>
    <w:rsid w:val="005072EA"/>
    <w:rsid w:val="00510887"/>
    <w:rsid w:val="005133BE"/>
    <w:rsid w:val="00520799"/>
    <w:rsid w:val="00523EC3"/>
    <w:rsid w:val="0052615C"/>
    <w:rsid w:val="005313E6"/>
    <w:rsid w:val="005315DA"/>
    <w:rsid w:val="005342F8"/>
    <w:rsid w:val="00540C5C"/>
    <w:rsid w:val="005512E1"/>
    <w:rsid w:val="00557F5F"/>
    <w:rsid w:val="005671D2"/>
    <w:rsid w:val="00567862"/>
    <w:rsid w:val="00575102"/>
    <w:rsid w:val="005818DE"/>
    <w:rsid w:val="005821A4"/>
    <w:rsid w:val="00582532"/>
    <w:rsid w:val="00586C84"/>
    <w:rsid w:val="00590ADB"/>
    <w:rsid w:val="0059102E"/>
    <w:rsid w:val="00593CD2"/>
    <w:rsid w:val="005A7001"/>
    <w:rsid w:val="005B0F55"/>
    <w:rsid w:val="005C6D9A"/>
    <w:rsid w:val="005D5B25"/>
    <w:rsid w:val="005E2370"/>
    <w:rsid w:val="005E2D9E"/>
    <w:rsid w:val="005E2F32"/>
    <w:rsid w:val="005E69F5"/>
    <w:rsid w:val="005E74C5"/>
    <w:rsid w:val="005F1C99"/>
    <w:rsid w:val="005F3391"/>
    <w:rsid w:val="005F5BC0"/>
    <w:rsid w:val="005F6B41"/>
    <w:rsid w:val="005F771B"/>
    <w:rsid w:val="005F795A"/>
    <w:rsid w:val="00600EC3"/>
    <w:rsid w:val="00602385"/>
    <w:rsid w:val="00605E15"/>
    <w:rsid w:val="006101CF"/>
    <w:rsid w:val="00610DEE"/>
    <w:rsid w:val="00617E51"/>
    <w:rsid w:val="00635C0E"/>
    <w:rsid w:val="00645C0E"/>
    <w:rsid w:val="0065233F"/>
    <w:rsid w:val="006610B2"/>
    <w:rsid w:val="00662FED"/>
    <w:rsid w:val="00663D9A"/>
    <w:rsid w:val="00667B03"/>
    <w:rsid w:val="00675130"/>
    <w:rsid w:val="006923A8"/>
    <w:rsid w:val="00692C75"/>
    <w:rsid w:val="0069576E"/>
    <w:rsid w:val="0069593A"/>
    <w:rsid w:val="00696583"/>
    <w:rsid w:val="006A2F27"/>
    <w:rsid w:val="006B23F4"/>
    <w:rsid w:val="006C35A8"/>
    <w:rsid w:val="006E1375"/>
    <w:rsid w:val="006E2859"/>
    <w:rsid w:val="006E75CA"/>
    <w:rsid w:val="006F0D00"/>
    <w:rsid w:val="006F7771"/>
    <w:rsid w:val="00702BAE"/>
    <w:rsid w:val="0070551C"/>
    <w:rsid w:val="00705EB1"/>
    <w:rsid w:val="00706A24"/>
    <w:rsid w:val="0070725D"/>
    <w:rsid w:val="007122CB"/>
    <w:rsid w:val="0071485D"/>
    <w:rsid w:val="00715F2F"/>
    <w:rsid w:val="00716B13"/>
    <w:rsid w:val="00720784"/>
    <w:rsid w:val="0072195C"/>
    <w:rsid w:val="00723F31"/>
    <w:rsid w:val="00740CC6"/>
    <w:rsid w:val="0074685B"/>
    <w:rsid w:val="00747125"/>
    <w:rsid w:val="007569F6"/>
    <w:rsid w:val="00760E54"/>
    <w:rsid w:val="007643E2"/>
    <w:rsid w:val="00771902"/>
    <w:rsid w:val="00773843"/>
    <w:rsid w:val="00782114"/>
    <w:rsid w:val="007914A5"/>
    <w:rsid w:val="00791E9A"/>
    <w:rsid w:val="007967FD"/>
    <w:rsid w:val="007972A2"/>
    <w:rsid w:val="007979DF"/>
    <w:rsid w:val="007A15FB"/>
    <w:rsid w:val="007A3FD6"/>
    <w:rsid w:val="007A4BC7"/>
    <w:rsid w:val="007A4E28"/>
    <w:rsid w:val="007B51CC"/>
    <w:rsid w:val="007C1E05"/>
    <w:rsid w:val="007C4FE5"/>
    <w:rsid w:val="007D3379"/>
    <w:rsid w:val="007E495C"/>
    <w:rsid w:val="007F0EA4"/>
    <w:rsid w:val="007F3E18"/>
    <w:rsid w:val="00807C77"/>
    <w:rsid w:val="008114B8"/>
    <w:rsid w:val="008132CE"/>
    <w:rsid w:val="0081365C"/>
    <w:rsid w:val="00813660"/>
    <w:rsid w:val="00815229"/>
    <w:rsid w:val="00815B2E"/>
    <w:rsid w:val="00815D1D"/>
    <w:rsid w:val="0082244A"/>
    <w:rsid w:val="00822D57"/>
    <w:rsid w:val="008248DD"/>
    <w:rsid w:val="00824F40"/>
    <w:rsid w:val="008278BE"/>
    <w:rsid w:val="00830C71"/>
    <w:rsid w:val="00833B2A"/>
    <w:rsid w:val="00835431"/>
    <w:rsid w:val="00836D73"/>
    <w:rsid w:val="00851736"/>
    <w:rsid w:val="00855E8D"/>
    <w:rsid w:val="00856A38"/>
    <w:rsid w:val="00861C25"/>
    <w:rsid w:val="00862629"/>
    <w:rsid w:val="00864B20"/>
    <w:rsid w:val="008662D7"/>
    <w:rsid w:val="00870228"/>
    <w:rsid w:val="00881B76"/>
    <w:rsid w:val="00882830"/>
    <w:rsid w:val="008856A5"/>
    <w:rsid w:val="0089695F"/>
    <w:rsid w:val="008A64D6"/>
    <w:rsid w:val="008B0A81"/>
    <w:rsid w:val="008B4A14"/>
    <w:rsid w:val="008B4D9C"/>
    <w:rsid w:val="008B7E65"/>
    <w:rsid w:val="008C1095"/>
    <w:rsid w:val="008C49BD"/>
    <w:rsid w:val="008C538B"/>
    <w:rsid w:val="008C7A15"/>
    <w:rsid w:val="008D2AB3"/>
    <w:rsid w:val="008E5DAE"/>
    <w:rsid w:val="008F0389"/>
    <w:rsid w:val="008F0B8A"/>
    <w:rsid w:val="008F1958"/>
    <w:rsid w:val="008F4226"/>
    <w:rsid w:val="008F4E6C"/>
    <w:rsid w:val="00900FBD"/>
    <w:rsid w:val="00911D3E"/>
    <w:rsid w:val="00915E3A"/>
    <w:rsid w:val="00916D83"/>
    <w:rsid w:val="00932B85"/>
    <w:rsid w:val="009423A1"/>
    <w:rsid w:val="00951598"/>
    <w:rsid w:val="00952CC6"/>
    <w:rsid w:val="00952D27"/>
    <w:rsid w:val="00953C3C"/>
    <w:rsid w:val="009605DD"/>
    <w:rsid w:val="00963EDA"/>
    <w:rsid w:val="009649DF"/>
    <w:rsid w:val="00964DE9"/>
    <w:rsid w:val="0097040E"/>
    <w:rsid w:val="00971004"/>
    <w:rsid w:val="009722A2"/>
    <w:rsid w:val="00973D97"/>
    <w:rsid w:val="009766DA"/>
    <w:rsid w:val="00982ED0"/>
    <w:rsid w:val="00984F1E"/>
    <w:rsid w:val="00987E62"/>
    <w:rsid w:val="00987FC2"/>
    <w:rsid w:val="00994AFF"/>
    <w:rsid w:val="00997167"/>
    <w:rsid w:val="009A0549"/>
    <w:rsid w:val="009A1C36"/>
    <w:rsid w:val="009A41B5"/>
    <w:rsid w:val="009A5B12"/>
    <w:rsid w:val="009A7699"/>
    <w:rsid w:val="009B11DC"/>
    <w:rsid w:val="009B1390"/>
    <w:rsid w:val="009C15A3"/>
    <w:rsid w:val="009D0E2C"/>
    <w:rsid w:val="009E3749"/>
    <w:rsid w:val="009E5290"/>
    <w:rsid w:val="009E6BE6"/>
    <w:rsid w:val="009E6C0C"/>
    <w:rsid w:val="009F00F4"/>
    <w:rsid w:val="009F06B2"/>
    <w:rsid w:val="009F2745"/>
    <w:rsid w:val="009F275F"/>
    <w:rsid w:val="009F3F6D"/>
    <w:rsid w:val="009F6448"/>
    <w:rsid w:val="00A04656"/>
    <w:rsid w:val="00A0799C"/>
    <w:rsid w:val="00A116AE"/>
    <w:rsid w:val="00A122A4"/>
    <w:rsid w:val="00A12B9C"/>
    <w:rsid w:val="00A16567"/>
    <w:rsid w:val="00A17E15"/>
    <w:rsid w:val="00A205C8"/>
    <w:rsid w:val="00A223A5"/>
    <w:rsid w:val="00A34F3B"/>
    <w:rsid w:val="00A35D22"/>
    <w:rsid w:val="00A37F10"/>
    <w:rsid w:val="00A41234"/>
    <w:rsid w:val="00A432B5"/>
    <w:rsid w:val="00A44678"/>
    <w:rsid w:val="00A45BFF"/>
    <w:rsid w:val="00A47265"/>
    <w:rsid w:val="00A55EF7"/>
    <w:rsid w:val="00A569B1"/>
    <w:rsid w:val="00A60FC0"/>
    <w:rsid w:val="00A652AC"/>
    <w:rsid w:val="00A6573F"/>
    <w:rsid w:val="00A81560"/>
    <w:rsid w:val="00A83369"/>
    <w:rsid w:val="00A96BE5"/>
    <w:rsid w:val="00AA11DB"/>
    <w:rsid w:val="00AA246C"/>
    <w:rsid w:val="00AA3E9B"/>
    <w:rsid w:val="00AA4235"/>
    <w:rsid w:val="00AA6FAA"/>
    <w:rsid w:val="00AA7440"/>
    <w:rsid w:val="00AB2E77"/>
    <w:rsid w:val="00AB3AE9"/>
    <w:rsid w:val="00AB61DD"/>
    <w:rsid w:val="00AC43AA"/>
    <w:rsid w:val="00AC65EB"/>
    <w:rsid w:val="00AD2745"/>
    <w:rsid w:val="00AD68FB"/>
    <w:rsid w:val="00AE1616"/>
    <w:rsid w:val="00AE3928"/>
    <w:rsid w:val="00AE4135"/>
    <w:rsid w:val="00AE64A4"/>
    <w:rsid w:val="00AF37D7"/>
    <w:rsid w:val="00AF5A7D"/>
    <w:rsid w:val="00B07890"/>
    <w:rsid w:val="00B119E0"/>
    <w:rsid w:val="00B13EEE"/>
    <w:rsid w:val="00B1596B"/>
    <w:rsid w:val="00B31BA0"/>
    <w:rsid w:val="00B32C6F"/>
    <w:rsid w:val="00B3531C"/>
    <w:rsid w:val="00B36D93"/>
    <w:rsid w:val="00B42503"/>
    <w:rsid w:val="00B443FF"/>
    <w:rsid w:val="00B514F4"/>
    <w:rsid w:val="00B53B7C"/>
    <w:rsid w:val="00B60D1B"/>
    <w:rsid w:val="00B64801"/>
    <w:rsid w:val="00B66DAB"/>
    <w:rsid w:val="00B676BB"/>
    <w:rsid w:val="00B71B9C"/>
    <w:rsid w:val="00B76A9A"/>
    <w:rsid w:val="00B81049"/>
    <w:rsid w:val="00B87EDB"/>
    <w:rsid w:val="00B91E90"/>
    <w:rsid w:val="00B9675D"/>
    <w:rsid w:val="00BA2861"/>
    <w:rsid w:val="00BB31B5"/>
    <w:rsid w:val="00BB3781"/>
    <w:rsid w:val="00BB4528"/>
    <w:rsid w:val="00BB74A3"/>
    <w:rsid w:val="00BB784E"/>
    <w:rsid w:val="00BC5ABF"/>
    <w:rsid w:val="00BC6C58"/>
    <w:rsid w:val="00BC7452"/>
    <w:rsid w:val="00BC78D6"/>
    <w:rsid w:val="00BD296D"/>
    <w:rsid w:val="00BD4AB8"/>
    <w:rsid w:val="00BE0745"/>
    <w:rsid w:val="00BE2661"/>
    <w:rsid w:val="00BF57AB"/>
    <w:rsid w:val="00BF6846"/>
    <w:rsid w:val="00BF727D"/>
    <w:rsid w:val="00C045A8"/>
    <w:rsid w:val="00C12FDC"/>
    <w:rsid w:val="00C21554"/>
    <w:rsid w:val="00C23B72"/>
    <w:rsid w:val="00C31EDD"/>
    <w:rsid w:val="00C350C8"/>
    <w:rsid w:val="00C564F5"/>
    <w:rsid w:val="00C60E3C"/>
    <w:rsid w:val="00C626B5"/>
    <w:rsid w:val="00C62AF7"/>
    <w:rsid w:val="00C65390"/>
    <w:rsid w:val="00C708E6"/>
    <w:rsid w:val="00C72D5E"/>
    <w:rsid w:val="00C80D76"/>
    <w:rsid w:val="00C80E9A"/>
    <w:rsid w:val="00C83C99"/>
    <w:rsid w:val="00C94B03"/>
    <w:rsid w:val="00C96D29"/>
    <w:rsid w:val="00C97314"/>
    <w:rsid w:val="00CA09A9"/>
    <w:rsid w:val="00CA6200"/>
    <w:rsid w:val="00CA696E"/>
    <w:rsid w:val="00CA7715"/>
    <w:rsid w:val="00CB16A5"/>
    <w:rsid w:val="00CB3E93"/>
    <w:rsid w:val="00CB59D3"/>
    <w:rsid w:val="00CB7DCC"/>
    <w:rsid w:val="00CC1D83"/>
    <w:rsid w:val="00CC5D3D"/>
    <w:rsid w:val="00CC6A48"/>
    <w:rsid w:val="00CD0FD6"/>
    <w:rsid w:val="00CD34C3"/>
    <w:rsid w:val="00CE08AD"/>
    <w:rsid w:val="00CE1D80"/>
    <w:rsid w:val="00CE351B"/>
    <w:rsid w:val="00CE4DBF"/>
    <w:rsid w:val="00CF066A"/>
    <w:rsid w:val="00CF0EBE"/>
    <w:rsid w:val="00CF4995"/>
    <w:rsid w:val="00CF6A0B"/>
    <w:rsid w:val="00D016C0"/>
    <w:rsid w:val="00D057FD"/>
    <w:rsid w:val="00D05A63"/>
    <w:rsid w:val="00D15172"/>
    <w:rsid w:val="00D22BAC"/>
    <w:rsid w:val="00D2373F"/>
    <w:rsid w:val="00D356F9"/>
    <w:rsid w:val="00D43AA0"/>
    <w:rsid w:val="00D45228"/>
    <w:rsid w:val="00D46CFC"/>
    <w:rsid w:val="00D47278"/>
    <w:rsid w:val="00D50B29"/>
    <w:rsid w:val="00D57CE1"/>
    <w:rsid w:val="00D658A9"/>
    <w:rsid w:val="00D674C0"/>
    <w:rsid w:val="00D678AC"/>
    <w:rsid w:val="00D833A9"/>
    <w:rsid w:val="00DA3080"/>
    <w:rsid w:val="00DA40DF"/>
    <w:rsid w:val="00DA60F3"/>
    <w:rsid w:val="00DA7E90"/>
    <w:rsid w:val="00DB0BE2"/>
    <w:rsid w:val="00DB3F95"/>
    <w:rsid w:val="00DC04DD"/>
    <w:rsid w:val="00DD4A99"/>
    <w:rsid w:val="00DD5129"/>
    <w:rsid w:val="00DD55D3"/>
    <w:rsid w:val="00DD5F9A"/>
    <w:rsid w:val="00DD6EEA"/>
    <w:rsid w:val="00DE25DD"/>
    <w:rsid w:val="00DE4618"/>
    <w:rsid w:val="00DF2A30"/>
    <w:rsid w:val="00DF2CBA"/>
    <w:rsid w:val="00DF3DC8"/>
    <w:rsid w:val="00DF5C64"/>
    <w:rsid w:val="00E0323D"/>
    <w:rsid w:val="00E05691"/>
    <w:rsid w:val="00E07B2F"/>
    <w:rsid w:val="00E120ED"/>
    <w:rsid w:val="00E134CE"/>
    <w:rsid w:val="00E21F46"/>
    <w:rsid w:val="00E220B7"/>
    <w:rsid w:val="00E23A71"/>
    <w:rsid w:val="00E36F7D"/>
    <w:rsid w:val="00E40A2C"/>
    <w:rsid w:val="00E43EB4"/>
    <w:rsid w:val="00E50EC5"/>
    <w:rsid w:val="00E52845"/>
    <w:rsid w:val="00E5374C"/>
    <w:rsid w:val="00E5586D"/>
    <w:rsid w:val="00E560C0"/>
    <w:rsid w:val="00E577F1"/>
    <w:rsid w:val="00E62471"/>
    <w:rsid w:val="00E67175"/>
    <w:rsid w:val="00E70FA2"/>
    <w:rsid w:val="00E71961"/>
    <w:rsid w:val="00E730A3"/>
    <w:rsid w:val="00E76B70"/>
    <w:rsid w:val="00E77006"/>
    <w:rsid w:val="00E81DEE"/>
    <w:rsid w:val="00E8391D"/>
    <w:rsid w:val="00E84B81"/>
    <w:rsid w:val="00E85A86"/>
    <w:rsid w:val="00E9038F"/>
    <w:rsid w:val="00E919F5"/>
    <w:rsid w:val="00E91AD3"/>
    <w:rsid w:val="00E95ED2"/>
    <w:rsid w:val="00E97D87"/>
    <w:rsid w:val="00EA7467"/>
    <w:rsid w:val="00EB5C8A"/>
    <w:rsid w:val="00EC201D"/>
    <w:rsid w:val="00ED02AA"/>
    <w:rsid w:val="00ED4D4B"/>
    <w:rsid w:val="00ED7258"/>
    <w:rsid w:val="00ED7EDD"/>
    <w:rsid w:val="00EE10B2"/>
    <w:rsid w:val="00EE1601"/>
    <w:rsid w:val="00EE3D87"/>
    <w:rsid w:val="00EE5607"/>
    <w:rsid w:val="00EE6343"/>
    <w:rsid w:val="00EF0544"/>
    <w:rsid w:val="00EF3239"/>
    <w:rsid w:val="00EF327D"/>
    <w:rsid w:val="00EF403E"/>
    <w:rsid w:val="00EF5DC3"/>
    <w:rsid w:val="00F0118C"/>
    <w:rsid w:val="00F016E9"/>
    <w:rsid w:val="00F02170"/>
    <w:rsid w:val="00F03170"/>
    <w:rsid w:val="00F05625"/>
    <w:rsid w:val="00F05887"/>
    <w:rsid w:val="00F060C4"/>
    <w:rsid w:val="00F12A8F"/>
    <w:rsid w:val="00F12EC7"/>
    <w:rsid w:val="00F2284B"/>
    <w:rsid w:val="00F3262F"/>
    <w:rsid w:val="00F36195"/>
    <w:rsid w:val="00F43C34"/>
    <w:rsid w:val="00F44DE4"/>
    <w:rsid w:val="00F5644A"/>
    <w:rsid w:val="00F70D38"/>
    <w:rsid w:val="00F72968"/>
    <w:rsid w:val="00F7479B"/>
    <w:rsid w:val="00F83526"/>
    <w:rsid w:val="00F84C32"/>
    <w:rsid w:val="00F90177"/>
    <w:rsid w:val="00F9522A"/>
    <w:rsid w:val="00FA3342"/>
    <w:rsid w:val="00FA782D"/>
    <w:rsid w:val="00FB078F"/>
    <w:rsid w:val="00FB42D7"/>
    <w:rsid w:val="00FC1593"/>
    <w:rsid w:val="00FD292C"/>
    <w:rsid w:val="00FD315A"/>
    <w:rsid w:val="00FD39D6"/>
    <w:rsid w:val="00FE1155"/>
    <w:rsid w:val="00FE2A19"/>
    <w:rsid w:val="00FE2F22"/>
    <w:rsid w:val="00FE56D4"/>
    <w:rsid w:val="00FE72FE"/>
    <w:rsid w:val="00FF4246"/>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646D4B"/>
  <w15:docId w15:val="{DB1D5169-E1C8-465E-9619-E761C308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1F4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2A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C62AF7"/>
  </w:style>
  <w:style w:type="paragraph" w:styleId="Footer">
    <w:name w:val="footer"/>
    <w:basedOn w:val="Normal"/>
    <w:link w:val="FooterChar"/>
    <w:uiPriority w:val="99"/>
    <w:unhideWhenUsed/>
    <w:rsid w:val="00C62A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C62AF7"/>
  </w:style>
  <w:style w:type="paragraph" w:styleId="BalloonText">
    <w:name w:val="Balloon Text"/>
    <w:basedOn w:val="Normal"/>
    <w:link w:val="BalloonTextChar"/>
    <w:uiPriority w:val="99"/>
    <w:semiHidden/>
    <w:unhideWhenUsed/>
    <w:rsid w:val="00C62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2AF7"/>
    <w:rPr>
      <w:rFonts w:ascii="Tahoma" w:hAnsi="Tahoma" w:cs="Tahoma"/>
      <w:sz w:val="16"/>
      <w:szCs w:val="16"/>
    </w:rPr>
  </w:style>
  <w:style w:type="character" w:styleId="CommentReference">
    <w:name w:val="annotation reference"/>
    <w:basedOn w:val="DefaultParagraphFont"/>
    <w:uiPriority w:val="99"/>
    <w:semiHidden/>
    <w:unhideWhenUsed/>
    <w:rsid w:val="00221376"/>
    <w:rPr>
      <w:sz w:val="16"/>
      <w:szCs w:val="16"/>
    </w:rPr>
  </w:style>
  <w:style w:type="paragraph" w:styleId="CommentText">
    <w:name w:val="annotation text"/>
    <w:basedOn w:val="Normal"/>
    <w:link w:val="CommentTextChar"/>
    <w:uiPriority w:val="99"/>
    <w:semiHidden/>
    <w:unhideWhenUsed/>
    <w:rsid w:val="00221376"/>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221376"/>
    <w:rPr>
      <w:sz w:val="20"/>
      <w:szCs w:val="20"/>
    </w:rPr>
  </w:style>
  <w:style w:type="paragraph" w:styleId="CommentSubject">
    <w:name w:val="annotation subject"/>
    <w:basedOn w:val="CommentText"/>
    <w:next w:val="CommentText"/>
    <w:link w:val="CommentSubjectChar"/>
    <w:uiPriority w:val="99"/>
    <w:semiHidden/>
    <w:unhideWhenUsed/>
    <w:rsid w:val="00221376"/>
    <w:rPr>
      <w:b/>
      <w:bCs/>
    </w:rPr>
  </w:style>
  <w:style w:type="character" w:customStyle="1" w:styleId="CommentSubjectChar">
    <w:name w:val="Comment Subject Char"/>
    <w:basedOn w:val="CommentTextChar"/>
    <w:link w:val="CommentSubject"/>
    <w:uiPriority w:val="99"/>
    <w:semiHidden/>
    <w:rsid w:val="00221376"/>
    <w:rPr>
      <w:b/>
      <w:bCs/>
      <w:sz w:val="20"/>
      <w:szCs w:val="20"/>
    </w:rPr>
  </w:style>
  <w:style w:type="character" w:styleId="Hyperlink">
    <w:name w:val="Hyperlink"/>
    <w:basedOn w:val="DefaultParagraphFont"/>
    <w:uiPriority w:val="99"/>
    <w:unhideWhenUsed/>
    <w:rsid w:val="00AE3928"/>
    <w:rPr>
      <w:color w:val="0000FF" w:themeColor="hyperlink"/>
      <w:u w:val="single"/>
    </w:rPr>
  </w:style>
  <w:style w:type="character" w:customStyle="1" w:styleId="arhhighlight">
    <w:name w:val="arh_highlight"/>
    <w:basedOn w:val="DefaultParagraphFont"/>
    <w:rsid w:val="0071485D"/>
  </w:style>
  <w:style w:type="character" w:customStyle="1" w:styleId="apple-converted-space">
    <w:name w:val="apple-converted-space"/>
    <w:basedOn w:val="DefaultParagraphFont"/>
    <w:rsid w:val="0071485D"/>
  </w:style>
  <w:style w:type="paragraph" w:styleId="NormalWeb">
    <w:name w:val="Normal (Web)"/>
    <w:basedOn w:val="Normal"/>
    <w:uiPriority w:val="99"/>
    <w:semiHidden/>
    <w:unhideWhenUsed/>
    <w:rsid w:val="00E84B8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6F7771"/>
    <w:pPr>
      <w:ind w:left="720"/>
      <w:contextualSpacing/>
    </w:pPr>
  </w:style>
  <w:style w:type="table" w:styleId="TableGrid">
    <w:name w:val="Table Grid"/>
    <w:basedOn w:val="TableNormal"/>
    <w:uiPriority w:val="39"/>
    <w:rsid w:val="00165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2B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248992">
      <w:bodyDiv w:val="1"/>
      <w:marLeft w:val="0"/>
      <w:marRight w:val="0"/>
      <w:marTop w:val="0"/>
      <w:marBottom w:val="0"/>
      <w:divBdr>
        <w:top w:val="none" w:sz="0" w:space="0" w:color="auto"/>
        <w:left w:val="none" w:sz="0" w:space="0" w:color="auto"/>
        <w:bottom w:val="none" w:sz="0" w:space="0" w:color="auto"/>
        <w:right w:val="none" w:sz="0" w:space="0" w:color="auto"/>
      </w:divBdr>
    </w:div>
    <w:div w:id="842479357">
      <w:bodyDiv w:val="1"/>
      <w:marLeft w:val="0"/>
      <w:marRight w:val="0"/>
      <w:marTop w:val="0"/>
      <w:marBottom w:val="0"/>
      <w:divBdr>
        <w:top w:val="none" w:sz="0" w:space="0" w:color="auto"/>
        <w:left w:val="none" w:sz="0" w:space="0" w:color="auto"/>
        <w:bottom w:val="none" w:sz="0" w:space="0" w:color="auto"/>
        <w:right w:val="none" w:sz="0" w:space="0" w:color="auto"/>
      </w:divBdr>
    </w:div>
    <w:div w:id="1154444289">
      <w:bodyDiv w:val="1"/>
      <w:marLeft w:val="0"/>
      <w:marRight w:val="0"/>
      <w:marTop w:val="0"/>
      <w:marBottom w:val="0"/>
      <w:divBdr>
        <w:top w:val="none" w:sz="0" w:space="0" w:color="auto"/>
        <w:left w:val="none" w:sz="0" w:space="0" w:color="auto"/>
        <w:bottom w:val="none" w:sz="0" w:space="0" w:color="auto"/>
        <w:right w:val="none" w:sz="0" w:space="0" w:color="auto"/>
      </w:divBdr>
    </w:div>
    <w:div w:id="1262445513">
      <w:bodyDiv w:val="1"/>
      <w:marLeft w:val="0"/>
      <w:marRight w:val="0"/>
      <w:marTop w:val="0"/>
      <w:marBottom w:val="0"/>
      <w:divBdr>
        <w:top w:val="none" w:sz="0" w:space="0" w:color="auto"/>
        <w:left w:val="none" w:sz="0" w:space="0" w:color="auto"/>
        <w:bottom w:val="none" w:sz="0" w:space="0" w:color="auto"/>
        <w:right w:val="none" w:sz="0" w:space="0" w:color="auto"/>
      </w:divBdr>
    </w:div>
    <w:div w:id="1618637869">
      <w:bodyDiv w:val="1"/>
      <w:marLeft w:val="0"/>
      <w:marRight w:val="0"/>
      <w:marTop w:val="0"/>
      <w:marBottom w:val="0"/>
      <w:divBdr>
        <w:top w:val="none" w:sz="0" w:space="0" w:color="auto"/>
        <w:left w:val="none" w:sz="0" w:space="0" w:color="auto"/>
        <w:bottom w:val="none" w:sz="0" w:space="0" w:color="auto"/>
        <w:right w:val="none" w:sz="0" w:space="0" w:color="auto"/>
      </w:divBdr>
    </w:div>
    <w:div w:id="1718431532">
      <w:bodyDiv w:val="1"/>
      <w:marLeft w:val="0"/>
      <w:marRight w:val="0"/>
      <w:marTop w:val="0"/>
      <w:marBottom w:val="0"/>
      <w:divBdr>
        <w:top w:val="none" w:sz="0" w:space="0" w:color="auto"/>
        <w:left w:val="none" w:sz="0" w:space="0" w:color="auto"/>
        <w:bottom w:val="none" w:sz="0" w:space="0" w:color="auto"/>
        <w:right w:val="none" w:sz="0" w:space="0" w:color="auto"/>
      </w:divBdr>
    </w:div>
    <w:div w:id="1793942502">
      <w:bodyDiv w:val="1"/>
      <w:marLeft w:val="0"/>
      <w:marRight w:val="0"/>
      <w:marTop w:val="0"/>
      <w:marBottom w:val="0"/>
      <w:divBdr>
        <w:top w:val="none" w:sz="0" w:space="0" w:color="auto"/>
        <w:left w:val="none" w:sz="0" w:space="0" w:color="auto"/>
        <w:bottom w:val="none" w:sz="0" w:space="0" w:color="auto"/>
        <w:right w:val="none" w:sz="0" w:space="0" w:color="auto"/>
      </w:divBdr>
    </w:div>
    <w:div w:id="1914969342">
      <w:bodyDiv w:val="1"/>
      <w:marLeft w:val="0"/>
      <w:marRight w:val="0"/>
      <w:marTop w:val="0"/>
      <w:marBottom w:val="0"/>
      <w:divBdr>
        <w:top w:val="none" w:sz="0" w:space="0" w:color="auto"/>
        <w:left w:val="none" w:sz="0" w:space="0" w:color="auto"/>
        <w:bottom w:val="none" w:sz="0" w:space="0" w:color="auto"/>
        <w:right w:val="none" w:sz="0" w:space="0" w:color="auto"/>
      </w:divBdr>
    </w:div>
    <w:div w:id="1917863109">
      <w:bodyDiv w:val="1"/>
      <w:marLeft w:val="0"/>
      <w:marRight w:val="0"/>
      <w:marTop w:val="0"/>
      <w:marBottom w:val="0"/>
      <w:divBdr>
        <w:top w:val="none" w:sz="0" w:space="0" w:color="auto"/>
        <w:left w:val="none" w:sz="0" w:space="0" w:color="auto"/>
        <w:bottom w:val="none" w:sz="0" w:space="0" w:color="auto"/>
        <w:right w:val="none" w:sz="0" w:space="0" w:color="auto"/>
      </w:divBdr>
    </w:div>
    <w:div w:id="2014070882">
      <w:bodyDiv w:val="1"/>
      <w:marLeft w:val="0"/>
      <w:marRight w:val="0"/>
      <w:marTop w:val="0"/>
      <w:marBottom w:val="0"/>
      <w:divBdr>
        <w:top w:val="none" w:sz="0" w:space="0" w:color="auto"/>
        <w:left w:val="none" w:sz="0" w:space="0" w:color="auto"/>
        <w:bottom w:val="none" w:sz="0" w:space="0" w:color="auto"/>
        <w:right w:val="none" w:sz="0" w:space="0" w:color="auto"/>
      </w:divBdr>
    </w:div>
    <w:div w:id="2076320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mailto:gints@olsen.lv" TargetMode="Externa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file:///C:\Users\Gints\AppData\Local\Microsoft\Windows\INetCache\Content.Outlook\33TMOBL9\TRL_csng_vid_at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Gints\AppData\Local\Microsoft\Windows\INetCache\Content.Outlook\33TMOBL9\TRL_csng_vid_at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Gints\AppData\Local\Microsoft\Windows\INetCache\Content.Outlook\33TMOBL9\TRL_csng_vid_at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Gints\AppData\Local\Microsoft\Windows\INetCache\Content.Outlook\33TMOBL9\TRL_csng_vid_at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Gints\AppData\Local\Microsoft\Windows\INetCache\Content.Outlook\33TMOBL9\TRL_csng_vid_at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Gints\AppData\Local\Microsoft\Windows\INetCache\Content.Outlook\33TMOBL9\TRL_csng_vid_at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000"/>
              <a:t>Kravas automašīnu izraisīto CSNg skaits un vidējā atlīdzība</a:t>
            </a:r>
            <a:endParaRPr lang="en-GB" sz="1000"/>
          </a:p>
        </c:rich>
      </c:tx>
      <c:overlay val="0"/>
      <c:spPr>
        <a:noFill/>
        <a:ln>
          <a:noFill/>
        </a:ln>
        <a:effectLst/>
      </c:spPr>
    </c:title>
    <c:autoTitleDeleted val="0"/>
    <c:plotArea>
      <c:layout/>
      <c:barChart>
        <c:barDir val="col"/>
        <c:grouping val="clustered"/>
        <c:varyColors val="0"/>
        <c:ser>
          <c:idx val="0"/>
          <c:order val="0"/>
          <c:tx>
            <c:strRef>
              <c:f>[TRL_csng_vid_atl.xlsx]V!$I$5</c:f>
              <c:strCache>
                <c:ptCount val="1"/>
                <c:pt idx="0">
                  <c:v>CSNg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[TRL_csng_vid_atl.xlsx]V!$H$6:$H$8</c:f>
              <c:numCache>
                <c:formatCode>General</c:formatCode>
                <c:ptCount val="3"/>
                <c:pt idx="0">
                  <c:v>2014</c:v>
                </c:pt>
                <c:pt idx="1">
                  <c:v>2015</c:v>
                </c:pt>
                <c:pt idx="2">
                  <c:v>2016</c:v>
                </c:pt>
              </c:numCache>
            </c:numRef>
          </c:cat>
          <c:val>
            <c:numRef>
              <c:f>[TRL_csng_vid_atl.xlsx]V!$I$6:$I$8</c:f>
              <c:numCache>
                <c:formatCode>General</c:formatCode>
                <c:ptCount val="3"/>
                <c:pt idx="0">
                  <c:v>6090</c:v>
                </c:pt>
                <c:pt idx="1">
                  <c:v>6275</c:v>
                </c:pt>
                <c:pt idx="2">
                  <c:v>6835</c:v>
                </c:pt>
              </c:numCache>
            </c:numRef>
          </c:val>
          <c:extLst>
            <c:ext xmlns:c16="http://schemas.microsoft.com/office/drawing/2014/chart" uri="{C3380CC4-5D6E-409C-BE32-E72D297353CC}">
              <c16:uniqueId val="{00000000-B331-4042-A9A3-A59A9B958FA0}"/>
            </c:ext>
          </c:extLst>
        </c:ser>
        <c:ser>
          <c:idx val="1"/>
          <c:order val="1"/>
          <c:tx>
            <c:strRef>
              <c:f>[TRL_csng_vid_atl.xlsx]V!$J$5</c:f>
              <c:strCache>
                <c:ptCount val="1"/>
                <c:pt idx="0">
                  <c:v>Vidējā atlīdzība EUR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[TRL_csng_vid_atl.xlsx]V!$H$6:$H$8</c:f>
              <c:numCache>
                <c:formatCode>General</c:formatCode>
                <c:ptCount val="3"/>
                <c:pt idx="0">
                  <c:v>2014</c:v>
                </c:pt>
                <c:pt idx="1">
                  <c:v>2015</c:v>
                </c:pt>
                <c:pt idx="2">
                  <c:v>2016</c:v>
                </c:pt>
              </c:numCache>
            </c:numRef>
          </c:cat>
          <c:val>
            <c:numRef>
              <c:f>[TRL_csng_vid_atl.xlsx]V!$J$6:$J$8</c:f>
              <c:numCache>
                <c:formatCode>General</c:formatCode>
                <c:ptCount val="3"/>
                <c:pt idx="0">
                  <c:v>1722</c:v>
                </c:pt>
                <c:pt idx="1">
                  <c:v>1716</c:v>
                </c:pt>
                <c:pt idx="2">
                  <c:v>1508</c:v>
                </c:pt>
              </c:numCache>
            </c:numRef>
          </c:val>
          <c:extLst>
            <c:ext xmlns:c16="http://schemas.microsoft.com/office/drawing/2014/chart" uri="{C3380CC4-5D6E-409C-BE32-E72D297353CC}">
              <c16:uniqueId val="{00000001-B331-4042-A9A3-A59A9B958FA0}"/>
            </c:ext>
          </c:extLst>
        </c:ser>
        <c:dLbls>
          <c:showLegendKey val="0"/>
          <c:showVal val="0"/>
          <c:showCatName val="0"/>
          <c:showSerName val="0"/>
          <c:showPercent val="0"/>
          <c:showBubbleSize val="0"/>
        </c:dLbls>
        <c:gapWidth val="219"/>
        <c:overlap val="-27"/>
        <c:axId val="70609920"/>
        <c:axId val="70615808"/>
      </c:barChart>
      <c:catAx>
        <c:axId val="70609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0615808"/>
        <c:crosses val="autoZero"/>
        <c:auto val="1"/>
        <c:lblAlgn val="ctr"/>
        <c:lblOffset val="100"/>
        <c:noMultiLvlLbl val="0"/>
      </c:catAx>
      <c:valAx>
        <c:axId val="706158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0609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000"/>
              <a:t>Mototransporta izraisīto CSNg skaits un vidējā atlīdzība</a:t>
            </a:r>
            <a:endParaRPr lang="en-GB" sz="1000"/>
          </a:p>
        </c:rich>
      </c:tx>
      <c:overlay val="0"/>
      <c:spPr>
        <a:noFill/>
        <a:ln>
          <a:noFill/>
        </a:ln>
        <a:effectLst/>
      </c:spPr>
    </c:title>
    <c:autoTitleDeleted val="0"/>
    <c:plotArea>
      <c:layout/>
      <c:barChart>
        <c:barDir val="col"/>
        <c:grouping val="clustered"/>
        <c:varyColors val="0"/>
        <c:ser>
          <c:idx val="0"/>
          <c:order val="0"/>
          <c:tx>
            <c:strRef>
              <c:f>[TRL_csng_vid_atl.xlsx]V!$I$5</c:f>
              <c:strCache>
                <c:ptCount val="1"/>
                <c:pt idx="0">
                  <c:v>CSNg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[TRL_csng_vid_atl.xlsx]V!$H$6:$H$8</c:f>
              <c:numCache>
                <c:formatCode>General</c:formatCode>
                <c:ptCount val="3"/>
                <c:pt idx="0">
                  <c:v>2014</c:v>
                </c:pt>
                <c:pt idx="1">
                  <c:v>2015</c:v>
                </c:pt>
                <c:pt idx="2">
                  <c:v>2016</c:v>
                </c:pt>
              </c:numCache>
            </c:numRef>
          </c:cat>
          <c:val>
            <c:numRef>
              <c:f>[TRL_csng_vid_atl.xlsx]V!$I$6:$I$8</c:f>
              <c:numCache>
                <c:formatCode>General</c:formatCode>
                <c:ptCount val="3"/>
                <c:pt idx="0">
                  <c:v>221</c:v>
                </c:pt>
                <c:pt idx="1">
                  <c:v>257</c:v>
                </c:pt>
                <c:pt idx="2">
                  <c:v>234</c:v>
                </c:pt>
              </c:numCache>
            </c:numRef>
          </c:val>
          <c:extLst>
            <c:ext xmlns:c16="http://schemas.microsoft.com/office/drawing/2014/chart" uri="{C3380CC4-5D6E-409C-BE32-E72D297353CC}">
              <c16:uniqueId val="{00000000-9A8C-4279-983F-DB893546CE89}"/>
            </c:ext>
          </c:extLst>
        </c:ser>
        <c:ser>
          <c:idx val="1"/>
          <c:order val="1"/>
          <c:tx>
            <c:strRef>
              <c:f>[TRL_csng_vid_atl.xlsx]V!$J$5</c:f>
              <c:strCache>
                <c:ptCount val="1"/>
                <c:pt idx="0">
                  <c:v>Vidējā atlīdzība EUR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[TRL_csng_vid_atl.xlsx]V!$H$6:$H$8</c:f>
              <c:numCache>
                <c:formatCode>General</c:formatCode>
                <c:ptCount val="3"/>
                <c:pt idx="0">
                  <c:v>2014</c:v>
                </c:pt>
                <c:pt idx="1">
                  <c:v>2015</c:v>
                </c:pt>
                <c:pt idx="2">
                  <c:v>2016</c:v>
                </c:pt>
              </c:numCache>
            </c:numRef>
          </c:cat>
          <c:val>
            <c:numRef>
              <c:f>[TRL_csng_vid_atl.xlsx]V!$J$6:$J$8</c:f>
              <c:numCache>
                <c:formatCode>General</c:formatCode>
                <c:ptCount val="3"/>
                <c:pt idx="0">
                  <c:v>965</c:v>
                </c:pt>
                <c:pt idx="1">
                  <c:v>1013</c:v>
                </c:pt>
                <c:pt idx="2">
                  <c:v>1315</c:v>
                </c:pt>
              </c:numCache>
            </c:numRef>
          </c:val>
          <c:extLst>
            <c:ext xmlns:c16="http://schemas.microsoft.com/office/drawing/2014/chart" uri="{C3380CC4-5D6E-409C-BE32-E72D297353CC}">
              <c16:uniqueId val="{00000001-9A8C-4279-983F-DB893546CE89}"/>
            </c:ext>
          </c:extLst>
        </c:ser>
        <c:dLbls>
          <c:showLegendKey val="0"/>
          <c:showVal val="0"/>
          <c:showCatName val="0"/>
          <c:showSerName val="0"/>
          <c:showPercent val="0"/>
          <c:showBubbleSize val="0"/>
        </c:dLbls>
        <c:gapWidth val="219"/>
        <c:overlap val="-27"/>
        <c:axId val="70646784"/>
        <c:axId val="133956352"/>
      </c:barChart>
      <c:catAx>
        <c:axId val="70646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3956352"/>
        <c:crosses val="autoZero"/>
        <c:auto val="1"/>
        <c:lblAlgn val="ctr"/>
        <c:lblOffset val="100"/>
        <c:noMultiLvlLbl val="0"/>
      </c:catAx>
      <c:valAx>
        <c:axId val="133956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70646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000"/>
              <a:t>Traktortehnikas izraisīto CSNg skaits un vidējā atlīdzība</a:t>
            </a:r>
            <a:endParaRPr lang="en-GB" sz="1000"/>
          </a:p>
        </c:rich>
      </c:tx>
      <c:overlay val="0"/>
      <c:spPr>
        <a:noFill/>
        <a:ln>
          <a:noFill/>
        </a:ln>
        <a:effectLst/>
      </c:spPr>
    </c:title>
    <c:autoTitleDeleted val="0"/>
    <c:plotArea>
      <c:layout/>
      <c:barChart>
        <c:barDir val="col"/>
        <c:grouping val="clustered"/>
        <c:varyColors val="0"/>
        <c:ser>
          <c:idx val="0"/>
          <c:order val="0"/>
          <c:tx>
            <c:strRef>
              <c:f>[TRL_csng_vid_atl.xlsx]V!$I$5</c:f>
              <c:strCache>
                <c:ptCount val="1"/>
                <c:pt idx="0">
                  <c:v>CSNg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[TRL_csng_vid_atl.xlsx]V!$H$6:$H$8</c:f>
              <c:numCache>
                <c:formatCode>General</c:formatCode>
                <c:ptCount val="3"/>
                <c:pt idx="0">
                  <c:v>2014</c:v>
                </c:pt>
                <c:pt idx="1">
                  <c:v>2015</c:v>
                </c:pt>
                <c:pt idx="2">
                  <c:v>2016</c:v>
                </c:pt>
              </c:numCache>
            </c:numRef>
          </c:cat>
          <c:val>
            <c:numRef>
              <c:f>[TRL_csng_vid_atl.xlsx]V!$I$6:$I$8</c:f>
              <c:numCache>
                <c:formatCode>General</c:formatCode>
                <c:ptCount val="3"/>
                <c:pt idx="0">
                  <c:v>165</c:v>
                </c:pt>
                <c:pt idx="1">
                  <c:v>197</c:v>
                </c:pt>
                <c:pt idx="2">
                  <c:v>208</c:v>
                </c:pt>
              </c:numCache>
            </c:numRef>
          </c:val>
          <c:extLst>
            <c:ext xmlns:c16="http://schemas.microsoft.com/office/drawing/2014/chart" uri="{C3380CC4-5D6E-409C-BE32-E72D297353CC}">
              <c16:uniqueId val="{00000000-CA22-4DC5-B6B1-0D8FC21DBFFB}"/>
            </c:ext>
          </c:extLst>
        </c:ser>
        <c:ser>
          <c:idx val="1"/>
          <c:order val="1"/>
          <c:tx>
            <c:strRef>
              <c:f>[TRL_csng_vid_atl.xlsx]V!$J$5</c:f>
              <c:strCache>
                <c:ptCount val="1"/>
                <c:pt idx="0">
                  <c:v>Vidējā atlīdzība EUR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[TRL_csng_vid_atl.xlsx]V!$H$6:$H$8</c:f>
              <c:numCache>
                <c:formatCode>General</c:formatCode>
                <c:ptCount val="3"/>
                <c:pt idx="0">
                  <c:v>2014</c:v>
                </c:pt>
                <c:pt idx="1">
                  <c:v>2015</c:v>
                </c:pt>
                <c:pt idx="2">
                  <c:v>2016</c:v>
                </c:pt>
              </c:numCache>
            </c:numRef>
          </c:cat>
          <c:val>
            <c:numRef>
              <c:f>[TRL_csng_vid_atl.xlsx]V!$J$6:$J$8</c:f>
              <c:numCache>
                <c:formatCode>General</c:formatCode>
                <c:ptCount val="3"/>
                <c:pt idx="0">
                  <c:v>1534</c:v>
                </c:pt>
                <c:pt idx="1">
                  <c:v>1452</c:v>
                </c:pt>
                <c:pt idx="2">
                  <c:v>1094</c:v>
                </c:pt>
              </c:numCache>
            </c:numRef>
          </c:val>
          <c:extLst>
            <c:ext xmlns:c16="http://schemas.microsoft.com/office/drawing/2014/chart" uri="{C3380CC4-5D6E-409C-BE32-E72D297353CC}">
              <c16:uniqueId val="{00000001-CA22-4DC5-B6B1-0D8FC21DBFFB}"/>
            </c:ext>
          </c:extLst>
        </c:ser>
        <c:dLbls>
          <c:showLegendKey val="0"/>
          <c:showVal val="0"/>
          <c:showCatName val="0"/>
          <c:showSerName val="0"/>
          <c:showPercent val="0"/>
          <c:showBubbleSize val="0"/>
        </c:dLbls>
        <c:gapWidth val="219"/>
        <c:overlap val="-27"/>
        <c:axId val="133978752"/>
        <c:axId val="133996928"/>
      </c:barChart>
      <c:catAx>
        <c:axId val="1339787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3996928"/>
        <c:crosses val="autoZero"/>
        <c:auto val="1"/>
        <c:lblAlgn val="ctr"/>
        <c:lblOffset val="100"/>
        <c:noMultiLvlLbl val="0"/>
      </c:catAx>
      <c:valAx>
        <c:axId val="1339969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3978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000"/>
              <a:t>Vieglo automašīnu izraisīto CSNg skaits un vidējā atlīdzība</a:t>
            </a:r>
            <a:endParaRPr lang="en-GB" sz="1000"/>
          </a:p>
        </c:rich>
      </c:tx>
      <c:overlay val="0"/>
      <c:spPr>
        <a:noFill/>
        <a:ln>
          <a:noFill/>
        </a:ln>
        <a:effectLst/>
      </c:spPr>
    </c:title>
    <c:autoTitleDeleted val="0"/>
    <c:plotArea>
      <c:layout/>
      <c:barChart>
        <c:barDir val="col"/>
        <c:grouping val="clustered"/>
        <c:varyColors val="0"/>
        <c:ser>
          <c:idx val="0"/>
          <c:order val="0"/>
          <c:tx>
            <c:strRef>
              <c:f>[TRL_csng_vid_atl.xlsx]V!$I$5</c:f>
              <c:strCache>
                <c:ptCount val="1"/>
                <c:pt idx="0">
                  <c:v>CSNg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[TRL_csng_vid_atl.xlsx]V!$H$6:$H$8</c:f>
              <c:numCache>
                <c:formatCode>General</c:formatCode>
                <c:ptCount val="3"/>
                <c:pt idx="0">
                  <c:v>2014</c:v>
                </c:pt>
                <c:pt idx="1">
                  <c:v>2015</c:v>
                </c:pt>
                <c:pt idx="2">
                  <c:v>2016</c:v>
                </c:pt>
              </c:numCache>
            </c:numRef>
          </c:cat>
          <c:val>
            <c:numRef>
              <c:f>[TRL_csng_vid_atl.xlsx]V!$I$6:$I$8</c:f>
              <c:numCache>
                <c:formatCode>General</c:formatCode>
                <c:ptCount val="3"/>
                <c:pt idx="0">
                  <c:v>25566</c:v>
                </c:pt>
                <c:pt idx="1">
                  <c:v>27767</c:v>
                </c:pt>
                <c:pt idx="2">
                  <c:v>29721</c:v>
                </c:pt>
              </c:numCache>
            </c:numRef>
          </c:val>
          <c:extLst>
            <c:ext xmlns:c16="http://schemas.microsoft.com/office/drawing/2014/chart" uri="{C3380CC4-5D6E-409C-BE32-E72D297353CC}">
              <c16:uniqueId val="{00000000-F37B-4A26-B133-846F19CB4824}"/>
            </c:ext>
          </c:extLst>
        </c:ser>
        <c:ser>
          <c:idx val="1"/>
          <c:order val="1"/>
          <c:tx>
            <c:strRef>
              <c:f>[TRL_csng_vid_atl.xlsx]V!$J$5</c:f>
              <c:strCache>
                <c:ptCount val="1"/>
                <c:pt idx="0">
                  <c:v>Vidējā atlīdzība EUR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[TRL_csng_vid_atl.xlsx]V!$H$6:$H$8</c:f>
              <c:numCache>
                <c:formatCode>General</c:formatCode>
                <c:ptCount val="3"/>
                <c:pt idx="0">
                  <c:v>2014</c:v>
                </c:pt>
                <c:pt idx="1">
                  <c:v>2015</c:v>
                </c:pt>
                <c:pt idx="2">
                  <c:v>2016</c:v>
                </c:pt>
              </c:numCache>
            </c:numRef>
          </c:cat>
          <c:val>
            <c:numRef>
              <c:f>[TRL_csng_vid_atl.xlsx]V!$J$6:$J$8</c:f>
              <c:numCache>
                <c:formatCode>General</c:formatCode>
                <c:ptCount val="3"/>
                <c:pt idx="0">
                  <c:v>1181</c:v>
                </c:pt>
                <c:pt idx="1">
                  <c:v>1212</c:v>
                </c:pt>
                <c:pt idx="2">
                  <c:v>1099</c:v>
                </c:pt>
              </c:numCache>
            </c:numRef>
          </c:val>
          <c:extLst>
            <c:ext xmlns:c16="http://schemas.microsoft.com/office/drawing/2014/chart" uri="{C3380CC4-5D6E-409C-BE32-E72D297353CC}">
              <c16:uniqueId val="{00000001-F37B-4A26-B133-846F19CB4824}"/>
            </c:ext>
          </c:extLst>
        </c:ser>
        <c:dLbls>
          <c:showLegendKey val="0"/>
          <c:showVal val="0"/>
          <c:showCatName val="0"/>
          <c:showSerName val="0"/>
          <c:showPercent val="0"/>
          <c:showBubbleSize val="0"/>
        </c:dLbls>
        <c:gapWidth val="219"/>
        <c:overlap val="-27"/>
        <c:axId val="136645248"/>
        <c:axId val="136655232"/>
      </c:barChart>
      <c:catAx>
        <c:axId val="136645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6655232"/>
        <c:crosses val="autoZero"/>
        <c:auto val="1"/>
        <c:lblAlgn val="ctr"/>
        <c:lblOffset val="100"/>
        <c:noMultiLvlLbl val="0"/>
      </c:catAx>
      <c:valAx>
        <c:axId val="136655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66452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000"/>
              <a:t>Autobusu izraisīto CSNg skaits un vidējā atlīdzība</a:t>
            </a:r>
            <a:endParaRPr lang="en-GB" sz="1000"/>
          </a:p>
        </c:rich>
      </c:tx>
      <c:overlay val="0"/>
      <c:spPr>
        <a:noFill/>
        <a:ln>
          <a:noFill/>
        </a:ln>
        <a:effectLst/>
      </c:spPr>
    </c:title>
    <c:autoTitleDeleted val="0"/>
    <c:plotArea>
      <c:layout/>
      <c:barChart>
        <c:barDir val="col"/>
        <c:grouping val="clustered"/>
        <c:varyColors val="0"/>
        <c:ser>
          <c:idx val="0"/>
          <c:order val="0"/>
          <c:tx>
            <c:strRef>
              <c:f>[TRL_csng_vid_atl.xlsx]V!$I$5</c:f>
              <c:strCache>
                <c:ptCount val="1"/>
                <c:pt idx="0">
                  <c:v>CSNg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[TRL_csng_vid_atl.xlsx]V!$H$6:$H$8</c:f>
              <c:numCache>
                <c:formatCode>General</c:formatCode>
                <c:ptCount val="3"/>
                <c:pt idx="0">
                  <c:v>2014</c:v>
                </c:pt>
                <c:pt idx="1">
                  <c:v>2015</c:v>
                </c:pt>
                <c:pt idx="2">
                  <c:v>2016</c:v>
                </c:pt>
              </c:numCache>
            </c:numRef>
          </c:cat>
          <c:val>
            <c:numRef>
              <c:f>[TRL_csng_vid_atl.xlsx]V!$I$6:$I$8</c:f>
              <c:numCache>
                <c:formatCode>General</c:formatCode>
                <c:ptCount val="3"/>
                <c:pt idx="0">
                  <c:v>490</c:v>
                </c:pt>
                <c:pt idx="1">
                  <c:v>453</c:v>
                </c:pt>
                <c:pt idx="2">
                  <c:v>477</c:v>
                </c:pt>
              </c:numCache>
            </c:numRef>
          </c:val>
          <c:extLst>
            <c:ext xmlns:c16="http://schemas.microsoft.com/office/drawing/2014/chart" uri="{C3380CC4-5D6E-409C-BE32-E72D297353CC}">
              <c16:uniqueId val="{00000000-5942-4504-BB71-2A060B7A99AB}"/>
            </c:ext>
          </c:extLst>
        </c:ser>
        <c:ser>
          <c:idx val="1"/>
          <c:order val="1"/>
          <c:tx>
            <c:strRef>
              <c:f>[TRL_csng_vid_atl.xlsx]V!$J$5</c:f>
              <c:strCache>
                <c:ptCount val="1"/>
                <c:pt idx="0">
                  <c:v>Vidējā atlīdzība EUR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[TRL_csng_vid_atl.xlsx]V!$H$6:$H$8</c:f>
              <c:numCache>
                <c:formatCode>General</c:formatCode>
                <c:ptCount val="3"/>
                <c:pt idx="0">
                  <c:v>2014</c:v>
                </c:pt>
                <c:pt idx="1">
                  <c:v>2015</c:v>
                </c:pt>
                <c:pt idx="2">
                  <c:v>2016</c:v>
                </c:pt>
              </c:numCache>
            </c:numRef>
          </c:cat>
          <c:val>
            <c:numRef>
              <c:f>[TRL_csng_vid_atl.xlsx]V!$J$6:$J$8</c:f>
              <c:numCache>
                <c:formatCode>General</c:formatCode>
                <c:ptCount val="3"/>
                <c:pt idx="0">
                  <c:v>1057</c:v>
                </c:pt>
                <c:pt idx="1">
                  <c:v>1040</c:v>
                </c:pt>
                <c:pt idx="2">
                  <c:v>1118</c:v>
                </c:pt>
              </c:numCache>
            </c:numRef>
          </c:val>
          <c:extLst>
            <c:ext xmlns:c16="http://schemas.microsoft.com/office/drawing/2014/chart" uri="{C3380CC4-5D6E-409C-BE32-E72D297353CC}">
              <c16:uniqueId val="{00000001-5942-4504-BB71-2A060B7A99AB}"/>
            </c:ext>
          </c:extLst>
        </c:ser>
        <c:dLbls>
          <c:showLegendKey val="0"/>
          <c:showVal val="0"/>
          <c:showCatName val="0"/>
          <c:showSerName val="0"/>
          <c:showPercent val="0"/>
          <c:showBubbleSize val="0"/>
        </c:dLbls>
        <c:gapWidth val="219"/>
        <c:overlap val="-27"/>
        <c:axId val="136673920"/>
        <c:axId val="136675712"/>
      </c:barChart>
      <c:catAx>
        <c:axId val="1366739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6675712"/>
        <c:crosses val="autoZero"/>
        <c:auto val="1"/>
        <c:lblAlgn val="ctr"/>
        <c:lblOffset val="100"/>
        <c:noMultiLvlLbl val="0"/>
      </c:catAx>
      <c:valAx>
        <c:axId val="1366757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6673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lv-LV" sz="1000"/>
              <a:t>Tramvaju un trolejbusu izraisīto CSNg skaits un vidējā atlīdzība</a:t>
            </a:r>
            <a:endParaRPr lang="en-GB" sz="1000"/>
          </a:p>
        </c:rich>
      </c:tx>
      <c:overlay val="0"/>
      <c:spPr>
        <a:noFill/>
        <a:ln>
          <a:noFill/>
        </a:ln>
        <a:effectLst/>
      </c:spPr>
    </c:title>
    <c:autoTitleDeleted val="0"/>
    <c:plotArea>
      <c:layout/>
      <c:barChart>
        <c:barDir val="col"/>
        <c:grouping val="clustered"/>
        <c:varyColors val="0"/>
        <c:ser>
          <c:idx val="0"/>
          <c:order val="0"/>
          <c:tx>
            <c:strRef>
              <c:f>[TRL_csng_vid_atl.xlsx]V!$I$5</c:f>
              <c:strCache>
                <c:ptCount val="1"/>
                <c:pt idx="0">
                  <c:v>CSNg</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[TRL_csng_vid_atl.xlsx]V!$H$6:$H$8</c:f>
              <c:numCache>
                <c:formatCode>General</c:formatCode>
                <c:ptCount val="3"/>
                <c:pt idx="0">
                  <c:v>2014</c:v>
                </c:pt>
                <c:pt idx="1">
                  <c:v>2015</c:v>
                </c:pt>
                <c:pt idx="2">
                  <c:v>2016</c:v>
                </c:pt>
              </c:numCache>
            </c:numRef>
          </c:cat>
          <c:val>
            <c:numRef>
              <c:f>[TRL_csng_vid_atl.xlsx]V!$I$6:$I$8</c:f>
              <c:numCache>
                <c:formatCode>General</c:formatCode>
                <c:ptCount val="3"/>
                <c:pt idx="0">
                  <c:v>82</c:v>
                </c:pt>
                <c:pt idx="1">
                  <c:v>77</c:v>
                </c:pt>
                <c:pt idx="2">
                  <c:v>76</c:v>
                </c:pt>
              </c:numCache>
            </c:numRef>
          </c:val>
          <c:extLst>
            <c:ext xmlns:c16="http://schemas.microsoft.com/office/drawing/2014/chart" uri="{C3380CC4-5D6E-409C-BE32-E72D297353CC}">
              <c16:uniqueId val="{00000000-C7B9-4EA9-9971-2C768B0963EB}"/>
            </c:ext>
          </c:extLst>
        </c:ser>
        <c:ser>
          <c:idx val="1"/>
          <c:order val="1"/>
          <c:tx>
            <c:strRef>
              <c:f>[TRL_csng_vid_atl.xlsx]V!$J$5</c:f>
              <c:strCache>
                <c:ptCount val="1"/>
                <c:pt idx="0">
                  <c:v>Vidējā atlīdzība EUR</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[TRL_csng_vid_atl.xlsx]V!$H$6:$H$8</c:f>
              <c:numCache>
                <c:formatCode>General</c:formatCode>
                <c:ptCount val="3"/>
                <c:pt idx="0">
                  <c:v>2014</c:v>
                </c:pt>
                <c:pt idx="1">
                  <c:v>2015</c:v>
                </c:pt>
                <c:pt idx="2">
                  <c:v>2016</c:v>
                </c:pt>
              </c:numCache>
            </c:numRef>
          </c:cat>
          <c:val>
            <c:numRef>
              <c:f>[TRL_csng_vid_atl.xlsx]V!$J$6:$J$8</c:f>
              <c:numCache>
                <c:formatCode>General</c:formatCode>
                <c:ptCount val="3"/>
                <c:pt idx="0">
                  <c:v>1321</c:v>
                </c:pt>
                <c:pt idx="1">
                  <c:v>609</c:v>
                </c:pt>
                <c:pt idx="2">
                  <c:v>1272</c:v>
                </c:pt>
              </c:numCache>
            </c:numRef>
          </c:val>
          <c:extLst>
            <c:ext xmlns:c16="http://schemas.microsoft.com/office/drawing/2014/chart" uri="{C3380CC4-5D6E-409C-BE32-E72D297353CC}">
              <c16:uniqueId val="{00000001-C7B9-4EA9-9971-2C768B0963EB}"/>
            </c:ext>
          </c:extLst>
        </c:ser>
        <c:dLbls>
          <c:showLegendKey val="0"/>
          <c:showVal val="0"/>
          <c:showCatName val="0"/>
          <c:showSerName val="0"/>
          <c:showPercent val="0"/>
          <c:showBubbleSize val="0"/>
        </c:dLbls>
        <c:gapWidth val="219"/>
        <c:overlap val="-27"/>
        <c:axId val="136706688"/>
        <c:axId val="137568640"/>
      </c:barChart>
      <c:catAx>
        <c:axId val="1367066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7568640"/>
        <c:crosses val="autoZero"/>
        <c:auto val="1"/>
        <c:lblAlgn val="ctr"/>
        <c:lblOffset val="100"/>
        <c:noMultiLvlLbl val="0"/>
      </c:catAx>
      <c:valAx>
        <c:axId val="1375686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136706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916B20-8C58-4885-98CD-10C28DB2C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2634</Words>
  <Characters>1502</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LAA</Company>
  <LinksUpToDate>false</LinksUpToDate>
  <CharactersWithSpaces>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Agris Daukste</dc:creator>
  <cp:lastModifiedBy>Agris Daukste</cp:lastModifiedBy>
  <cp:revision>2</cp:revision>
  <dcterms:created xsi:type="dcterms:W3CDTF">2017-04-24T05:44:00Z</dcterms:created>
  <dcterms:modified xsi:type="dcterms:W3CDTF">2017-04-24T05:44:00Z</dcterms:modified>
</cp:coreProperties>
</file>