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214FBB" w14:textId="3148823C" w:rsidR="00E21F46" w:rsidRPr="002D6445" w:rsidRDefault="002D6445" w:rsidP="001655C5">
      <w:pPr>
        <w:spacing w:after="0" w:line="240" w:lineRule="auto"/>
        <w:jc w:val="right"/>
        <w:rPr>
          <w:lang w:val="ru-RU"/>
        </w:rPr>
      </w:pPr>
      <w:r>
        <w:rPr>
          <w:lang w:val="ru-RU"/>
        </w:rPr>
        <w:t>Информация для представителей СМИ</w:t>
      </w:r>
    </w:p>
    <w:p w14:paraId="7CFC7E04" w14:textId="5B9796E3" w:rsidR="00E21F46" w:rsidRPr="00AE4135" w:rsidRDefault="00856A38" w:rsidP="001655C5">
      <w:pPr>
        <w:spacing w:after="0" w:line="240" w:lineRule="auto"/>
        <w:jc w:val="right"/>
      </w:pPr>
      <w:r>
        <w:t>20</w:t>
      </w:r>
      <w:r w:rsidR="00BC5ABF" w:rsidRPr="00AE4135">
        <w:t>.</w:t>
      </w:r>
      <w:r>
        <w:t>04</w:t>
      </w:r>
      <w:r w:rsidR="00216F78">
        <w:t>.2017</w:t>
      </w:r>
    </w:p>
    <w:p w14:paraId="0ECCBB10" w14:textId="13DB6B6E" w:rsidR="00F90177" w:rsidRDefault="00F90177" w:rsidP="00952CC6">
      <w:pPr>
        <w:spacing w:after="0" w:line="240" w:lineRule="auto"/>
        <w:rPr>
          <w:b/>
          <w:sz w:val="24"/>
          <w:szCs w:val="24"/>
        </w:rPr>
      </w:pPr>
    </w:p>
    <w:p w14:paraId="68AC0447" w14:textId="77CE99C6" w:rsidR="002D6445" w:rsidRPr="002D6445" w:rsidRDefault="002D6445" w:rsidP="002B7295">
      <w:pPr>
        <w:spacing w:after="0" w:line="240" w:lineRule="auto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Средняя компенсация</w:t>
      </w:r>
      <w:r w:rsidR="001738D1">
        <w:rPr>
          <w:b/>
          <w:sz w:val="24"/>
          <w:szCs w:val="24"/>
          <w:lang w:val="ru-RU"/>
        </w:rPr>
        <w:t xml:space="preserve"> за ущерб, причиненный грузовыми автомобилями</w:t>
      </w:r>
      <w:r>
        <w:rPr>
          <w:b/>
          <w:sz w:val="24"/>
          <w:szCs w:val="24"/>
          <w:lang w:val="ru-RU"/>
        </w:rPr>
        <w:t>, все еще велика</w:t>
      </w:r>
    </w:p>
    <w:p w14:paraId="737DE8BB" w14:textId="48B63CFD" w:rsidR="002B7295" w:rsidRPr="00AE4135" w:rsidRDefault="002B7295" w:rsidP="001655C5">
      <w:pPr>
        <w:spacing w:after="0" w:line="240" w:lineRule="auto"/>
        <w:jc w:val="center"/>
        <w:rPr>
          <w:b/>
        </w:rPr>
      </w:pPr>
    </w:p>
    <w:p w14:paraId="4A748576" w14:textId="53C8EA8F" w:rsidR="002D6445" w:rsidRPr="002D6445" w:rsidRDefault="002D6445" w:rsidP="002E6ADF">
      <w:pPr>
        <w:spacing w:after="0" w:line="240" w:lineRule="auto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Обобщенная статистика Латвийского бюро страховщиков транспортных средств (далее </w:t>
      </w:r>
      <w:r>
        <w:rPr>
          <w:b/>
          <w:sz w:val="24"/>
          <w:szCs w:val="24"/>
        </w:rPr>
        <w:t>– LTAB)</w:t>
      </w:r>
      <w:r>
        <w:rPr>
          <w:b/>
          <w:sz w:val="24"/>
          <w:szCs w:val="24"/>
          <w:lang w:val="ru-RU"/>
        </w:rPr>
        <w:t xml:space="preserve"> свидетельствует, что в течение последних трех лет средняя компенсация</w:t>
      </w:r>
      <w:r w:rsidR="001738D1">
        <w:rPr>
          <w:b/>
          <w:sz w:val="24"/>
          <w:szCs w:val="24"/>
          <w:lang w:val="ru-RU"/>
        </w:rPr>
        <w:t xml:space="preserve"> за ущерб, причиненный грузовыми автомобилями</w:t>
      </w:r>
      <w:r>
        <w:rPr>
          <w:b/>
          <w:sz w:val="24"/>
          <w:szCs w:val="24"/>
          <w:lang w:val="ru-RU"/>
        </w:rPr>
        <w:t>, все еще существенно больше средней компенсации за ущерб, причиненный другим</w:t>
      </w:r>
      <w:r w:rsidR="001738D1">
        <w:rPr>
          <w:b/>
          <w:sz w:val="24"/>
          <w:szCs w:val="24"/>
          <w:lang w:val="ru-RU"/>
        </w:rPr>
        <w:t>и</w:t>
      </w:r>
      <w:r>
        <w:rPr>
          <w:b/>
          <w:sz w:val="24"/>
          <w:szCs w:val="24"/>
          <w:lang w:val="ru-RU"/>
        </w:rPr>
        <w:t xml:space="preserve"> транспортным</w:t>
      </w:r>
      <w:r w:rsidR="001738D1">
        <w:rPr>
          <w:b/>
          <w:sz w:val="24"/>
          <w:szCs w:val="24"/>
          <w:lang w:val="ru-RU"/>
        </w:rPr>
        <w:t>и</w:t>
      </w:r>
      <w:r>
        <w:rPr>
          <w:b/>
          <w:sz w:val="24"/>
          <w:szCs w:val="24"/>
          <w:lang w:val="ru-RU"/>
        </w:rPr>
        <w:t xml:space="preserve"> средствам</w:t>
      </w:r>
      <w:r w:rsidR="001738D1">
        <w:rPr>
          <w:b/>
          <w:sz w:val="24"/>
          <w:szCs w:val="24"/>
          <w:lang w:val="ru-RU"/>
        </w:rPr>
        <w:t>и</w:t>
      </w:r>
      <w:r>
        <w:rPr>
          <w:b/>
          <w:sz w:val="24"/>
          <w:szCs w:val="24"/>
          <w:lang w:val="ru-RU"/>
        </w:rPr>
        <w:t>. Также существенно увеличилась и средняя компенсация за у</w:t>
      </w:r>
      <w:r w:rsidR="001738D1">
        <w:rPr>
          <w:b/>
          <w:sz w:val="24"/>
          <w:szCs w:val="24"/>
          <w:lang w:val="ru-RU"/>
        </w:rPr>
        <w:t>щерб, причиненный мототранспортом</w:t>
      </w:r>
      <w:r>
        <w:rPr>
          <w:b/>
          <w:sz w:val="24"/>
          <w:szCs w:val="24"/>
          <w:lang w:val="ru-RU"/>
        </w:rPr>
        <w:t xml:space="preserve">.  </w:t>
      </w:r>
    </w:p>
    <w:p w14:paraId="2602613D" w14:textId="4D3B72B6" w:rsidR="002D6445" w:rsidRDefault="002D6445" w:rsidP="002E6ADF">
      <w:pPr>
        <w:spacing w:after="0" w:line="240" w:lineRule="auto"/>
        <w:jc w:val="both"/>
        <w:rPr>
          <w:b/>
          <w:sz w:val="24"/>
          <w:szCs w:val="24"/>
          <w:lang w:val="ru-RU"/>
        </w:rPr>
      </w:pPr>
    </w:p>
    <w:p w14:paraId="631D09B1" w14:textId="3476D19D" w:rsidR="00CF4111" w:rsidRPr="00CF4111" w:rsidRDefault="00151B33" w:rsidP="00B443FF">
      <w:pPr>
        <w:spacing w:after="0" w:line="240" w:lineRule="auto"/>
        <w:ind w:right="4819"/>
        <w:jc w:val="both"/>
        <w:rPr>
          <w:lang w:val="ru-RU"/>
        </w:rPr>
      </w:pPr>
      <w:r>
        <w:rPr>
          <w:noProof/>
          <w:lang w:val="en-US"/>
        </w:rPr>
        <w:drawing>
          <wp:anchor distT="0" distB="0" distL="114300" distR="114300" simplePos="0" relativeHeight="251664384" behindDoc="0" locked="0" layoutInCell="1" allowOverlap="1" wp14:anchorId="08406237" wp14:editId="1817BF63">
            <wp:simplePos x="0" y="0"/>
            <wp:positionH relativeFrom="column">
              <wp:posOffset>3507740</wp:posOffset>
            </wp:positionH>
            <wp:positionV relativeFrom="paragraph">
              <wp:posOffset>5080</wp:posOffset>
            </wp:positionV>
            <wp:extent cx="2943226" cy="2047876"/>
            <wp:effectExtent l="0" t="0" r="9525" b="9525"/>
            <wp:wrapThrough wrapText="bothSides">
              <wp:wrapPolygon edited="0">
                <wp:start x="0" y="0"/>
                <wp:lineTo x="0" y="21500"/>
                <wp:lineTo x="21530" y="21500"/>
                <wp:lineTo x="21530" y="0"/>
                <wp:lineTo x="0" y="0"/>
              </wp:wrapPolygon>
            </wp:wrapThrough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 w:rsidR="00CF4111">
        <w:rPr>
          <w:lang w:val="ru-RU"/>
        </w:rPr>
        <w:t xml:space="preserve">В течение последних трех лет (2014-2016 год) грузовые транспортные средства вызвали 19 200 ДТП, за которые в общем было выплачено более 30 миллионов евро. Средняя компенсация за </w:t>
      </w:r>
      <w:r w:rsidR="001738D1">
        <w:rPr>
          <w:lang w:val="ru-RU"/>
        </w:rPr>
        <w:t>ущерб, причиненный грузовыми автомобилями</w:t>
      </w:r>
      <w:r w:rsidR="00CF4111" w:rsidRPr="00CF4111">
        <w:rPr>
          <w:lang w:val="ru-RU"/>
        </w:rPr>
        <w:t>,</w:t>
      </w:r>
      <w:r w:rsidR="00CF4111">
        <w:rPr>
          <w:lang w:val="ru-RU"/>
        </w:rPr>
        <w:t xml:space="preserve"> уменьшилась (в 2014 году – 1722 евро, в 2015 году – 1716 евро, в 2016 году – 1508 евро), однако она все еще больше средней компенсации</w:t>
      </w:r>
      <w:r w:rsidR="00A43737" w:rsidRPr="00A43737">
        <w:rPr>
          <w:lang w:val="ru-RU"/>
        </w:rPr>
        <w:t xml:space="preserve"> </w:t>
      </w:r>
      <w:r w:rsidR="00A43737">
        <w:rPr>
          <w:lang w:val="ru-RU"/>
        </w:rPr>
        <w:t>за</w:t>
      </w:r>
      <w:r w:rsidR="00CF4111">
        <w:rPr>
          <w:lang w:val="ru-RU"/>
        </w:rPr>
        <w:t xml:space="preserve"> </w:t>
      </w:r>
      <w:r w:rsidR="00CF4111" w:rsidRPr="00CF4111">
        <w:rPr>
          <w:lang w:val="ru-RU"/>
        </w:rPr>
        <w:t>ущерб, причиненный другим</w:t>
      </w:r>
      <w:r w:rsidR="00A43737">
        <w:rPr>
          <w:lang w:val="ru-RU"/>
        </w:rPr>
        <w:t>и</w:t>
      </w:r>
      <w:r w:rsidR="00CF4111" w:rsidRPr="00CF4111">
        <w:rPr>
          <w:lang w:val="ru-RU"/>
        </w:rPr>
        <w:t xml:space="preserve"> транспортным</w:t>
      </w:r>
      <w:r w:rsidR="00A43737">
        <w:rPr>
          <w:lang w:val="ru-RU"/>
        </w:rPr>
        <w:t>и</w:t>
      </w:r>
      <w:r w:rsidR="00CF4111" w:rsidRPr="00CF4111">
        <w:rPr>
          <w:lang w:val="ru-RU"/>
        </w:rPr>
        <w:t xml:space="preserve"> средствам</w:t>
      </w:r>
      <w:r w:rsidR="00A43737">
        <w:rPr>
          <w:lang w:val="ru-RU"/>
        </w:rPr>
        <w:t>и</w:t>
      </w:r>
      <w:r w:rsidR="00CF4111">
        <w:rPr>
          <w:lang w:val="ru-RU"/>
        </w:rPr>
        <w:t xml:space="preserve">, информирует председатель правления </w:t>
      </w:r>
      <w:r w:rsidR="00CF4111">
        <w:t>LTAB</w:t>
      </w:r>
      <w:r w:rsidR="00CF4111">
        <w:rPr>
          <w:lang w:val="ru-RU"/>
        </w:rPr>
        <w:t xml:space="preserve"> </w:t>
      </w:r>
      <w:proofErr w:type="spellStart"/>
      <w:r w:rsidR="00CF4111">
        <w:rPr>
          <w:lang w:val="ru-RU"/>
        </w:rPr>
        <w:t>Янис</w:t>
      </w:r>
      <w:proofErr w:type="spellEnd"/>
      <w:r w:rsidR="00CF4111">
        <w:rPr>
          <w:lang w:val="ru-RU"/>
        </w:rPr>
        <w:t xml:space="preserve"> </w:t>
      </w:r>
      <w:proofErr w:type="spellStart"/>
      <w:r w:rsidR="00CF4111">
        <w:rPr>
          <w:lang w:val="ru-RU"/>
        </w:rPr>
        <w:t>Абашин</w:t>
      </w:r>
      <w:proofErr w:type="spellEnd"/>
      <w:r w:rsidR="00CF4111">
        <w:rPr>
          <w:lang w:val="ru-RU"/>
        </w:rPr>
        <w:t xml:space="preserve">, добавляя: «Грузоперевозчики относительно одни из самых опасных участников дорожного движения, которые, к тому же, главным образом находятся заграницей, поэтому и цена ОСТА для них обычно намного больше, чем для других транспортных средств». </w:t>
      </w:r>
    </w:p>
    <w:p w14:paraId="490F0613" w14:textId="19DA815B" w:rsidR="00CF4111" w:rsidRDefault="00CF4111" w:rsidP="00B443FF">
      <w:pPr>
        <w:spacing w:after="0" w:line="240" w:lineRule="auto"/>
        <w:ind w:right="4819"/>
        <w:jc w:val="both"/>
      </w:pPr>
    </w:p>
    <w:p w14:paraId="69ADFA19" w14:textId="401B77CF" w:rsidR="00CF4111" w:rsidRPr="0078037B" w:rsidRDefault="00151B33" w:rsidP="00B443FF">
      <w:pPr>
        <w:spacing w:after="0" w:line="240" w:lineRule="auto"/>
        <w:ind w:right="4819"/>
        <w:jc w:val="both"/>
        <w:rPr>
          <w:lang w:val="ru-RU"/>
        </w:rPr>
      </w:pPr>
      <w:r>
        <w:rPr>
          <w:noProof/>
          <w:lang w:val="en-US"/>
        </w:rPr>
        <w:drawing>
          <wp:anchor distT="0" distB="0" distL="114300" distR="114300" simplePos="0" relativeHeight="251665408" behindDoc="0" locked="0" layoutInCell="1" allowOverlap="1" wp14:anchorId="7F66E697" wp14:editId="4C8AF890">
            <wp:simplePos x="0" y="0"/>
            <wp:positionH relativeFrom="column">
              <wp:posOffset>3488690</wp:posOffset>
            </wp:positionH>
            <wp:positionV relativeFrom="paragraph">
              <wp:posOffset>10160</wp:posOffset>
            </wp:positionV>
            <wp:extent cx="3019424" cy="1581149"/>
            <wp:effectExtent l="0" t="0" r="10160" b="635"/>
            <wp:wrapThrough wrapText="bothSides">
              <wp:wrapPolygon edited="0">
                <wp:start x="0" y="0"/>
                <wp:lineTo x="0" y="21348"/>
                <wp:lineTo x="21536" y="21348"/>
                <wp:lineTo x="21536" y="0"/>
                <wp:lineTo x="0" y="0"/>
              </wp:wrapPolygon>
            </wp:wrapThrough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="00CF4111">
        <w:rPr>
          <w:lang w:val="ru-RU"/>
        </w:rPr>
        <w:t>В течение последних трех лет увеличилась средняя компенсация за у</w:t>
      </w:r>
      <w:r w:rsidR="009953E7">
        <w:rPr>
          <w:lang w:val="ru-RU"/>
        </w:rPr>
        <w:t>щерб, причиненный мототранспортом</w:t>
      </w:r>
      <w:r w:rsidR="00CF4111">
        <w:rPr>
          <w:lang w:val="ru-RU"/>
        </w:rPr>
        <w:t>. Если в 2014 году</w:t>
      </w:r>
      <w:r w:rsidR="0078037B">
        <w:t xml:space="preserve"> </w:t>
      </w:r>
      <w:proofErr w:type="spellStart"/>
      <w:r w:rsidR="0078037B">
        <w:rPr>
          <w:lang w:val="ru-RU"/>
        </w:rPr>
        <w:t>мототранспортные</w:t>
      </w:r>
      <w:proofErr w:type="spellEnd"/>
      <w:r w:rsidR="0078037B">
        <w:rPr>
          <w:lang w:val="ru-RU"/>
        </w:rPr>
        <w:t xml:space="preserve"> средства вызвали в среднем 221 ДТП и средняя компенсация составила 965 евро, а</w:t>
      </w:r>
      <w:r w:rsidR="00A9509F">
        <w:rPr>
          <w:lang w:val="ru-RU"/>
        </w:rPr>
        <w:t xml:space="preserve"> в 2015 году</w:t>
      </w:r>
      <w:r w:rsidR="0078037B">
        <w:rPr>
          <w:lang w:val="ru-RU"/>
        </w:rPr>
        <w:t xml:space="preserve"> при 257 ДТП средняя компенсация составила 1013 евро, то в прошлом году было уже 234 ДТП со средней компенсацией 1315 евро. «</w:t>
      </w:r>
      <w:r w:rsidR="00723E8F">
        <w:rPr>
          <w:lang w:val="ru-RU"/>
        </w:rPr>
        <w:t xml:space="preserve">Можно заключить, что число </w:t>
      </w:r>
      <w:proofErr w:type="spellStart"/>
      <w:r w:rsidR="00723E8F">
        <w:rPr>
          <w:lang w:val="ru-RU"/>
        </w:rPr>
        <w:t>мототранспортных</w:t>
      </w:r>
      <w:proofErr w:type="spellEnd"/>
      <w:r w:rsidR="00723E8F">
        <w:rPr>
          <w:lang w:val="ru-RU"/>
        </w:rPr>
        <w:t xml:space="preserve"> средств в последние годы сравнительно стремительно растет, поэтому увеличивается и вероятность вызвать ДТП с серьезными последствиями и большими убытками», - поясняет Я. </w:t>
      </w:r>
      <w:proofErr w:type="spellStart"/>
      <w:r w:rsidR="00723E8F">
        <w:rPr>
          <w:lang w:val="ru-RU"/>
        </w:rPr>
        <w:t>Абашин</w:t>
      </w:r>
      <w:proofErr w:type="spellEnd"/>
      <w:r w:rsidR="00723E8F">
        <w:rPr>
          <w:lang w:val="ru-RU"/>
        </w:rPr>
        <w:t xml:space="preserve">. </w:t>
      </w:r>
    </w:p>
    <w:p w14:paraId="5DBCFB6C" w14:textId="2E41288C" w:rsidR="00B443FF" w:rsidRDefault="00B443FF" w:rsidP="00723E8F">
      <w:pPr>
        <w:spacing w:after="0" w:line="240" w:lineRule="auto"/>
        <w:jc w:val="both"/>
      </w:pPr>
    </w:p>
    <w:p w14:paraId="73CE6741" w14:textId="36113DFD" w:rsidR="00723E8F" w:rsidRDefault="00151B33" w:rsidP="00723E8F">
      <w:pPr>
        <w:spacing w:after="0" w:line="240" w:lineRule="auto"/>
        <w:ind w:right="4819"/>
        <w:jc w:val="both"/>
        <w:rPr>
          <w:lang w:val="ru-RU"/>
        </w:rPr>
      </w:pPr>
      <w:r>
        <w:rPr>
          <w:noProof/>
          <w:lang w:val="en-US"/>
        </w:rPr>
        <w:drawing>
          <wp:anchor distT="0" distB="0" distL="114300" distR="114300" simplePos="0" relativeHeight="251666432" behindDoc="1" locked="0" layoutInCell="1" allowOverlap="1" wp14:anchorId="13403270" wp14:editId="27F179EF">
            <wp:simplePos x="0" y="0"/>
            <wp:positionH relativeFrom="column">
              <wp:posOffset>3469640</wp:posOffset>
            </wp:positionH>
            <wp:positionV relativeFrom="paragraph">
              <wp:posOffset>13335</wp:posOffset>
            </wp:positionV>
            <wp:extent cx="3143250" cy="1619250"/>
            <wp:effectExtent l="0" t="0" r="0" b="0"/>
            <wp:wrapNone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3E8F">
        <w:rPr>
          <w:lang w:val="ru-RU"/>
        </w:rPr>
        <w:t xml:space="preserve">Тем времени, несмотря на существенное увеличение числа ДТП, существенно уменьшилась средняя компенсация за ущерб, причиненный тракторной техникой. В 2014 году число вызванных тракторной техникой ДТП составило 165, а средняя компенсация – 1534 евро, на год позже – 197 ДТП при средней компенсации 1534 евро, а в прошлом году – 208 ДТП </w:t>
      </w:r>
      <w:r w:rsidR="00723E8F">
        <w:rPr>
          <w:lang w:val="ru-RU"/>
        </w:rPr>
        <w:lastRenderedPageBreak/>
        <w:t xml:space="preserve">со средней компенсацией 1094 евро. «Эту тенденцию, возможно, можно объяснить тем, что в последние два </w:t>
      </w:r>
      <w:r w:rsidR="00A9509F">
        <w:rPr>
          <w:noProof/>
          <w:lang w:val="en-US"/>
        </w:rPr>
        <w:drawing>
          <wp:anchor distT="0" distB="0" distL="114300" distR="114300" simplePos="0" relativeHeight="251667456" behindDoc="0" locked="0" layoutInCell="1" allowOverlap="1" wp14:anchorId="377434F7" wp14:editId="42C9FAA6">
            <wp:simplePos x="0" y="0"/>
            <wp:positionH relativeFrom="column">
              <wp:posOffset>3507740</wp:posOffset>
            </wp:positionH>
            <wp:positionV relativeFrom="paragraph">
              <wp:posOffset>397510</wp:posOffset>
            </wp:positionV>
            <wp:extent cx="2971800" cy="2257425"/>
            <wp:effectExtent l="0" t="0" r="0" b="9525"/>
            <wp:wrapThrough wrapText="bothSides">
              <wp:wrapPolygon edited="0">
                <wp:start x="0" y="0"/>
                <wp:lineTo x="0" y="21509"/>
                <wp:lineTo x="21462" y="21509"/>
                <wp:lineTo x="21462" y="0"/>
                <wp:lineTo x="0" y="0"/>
              </wp:wrapPolygon>
            </wp:wrapThrough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3E8F">
        <w:rPr>
          <w:lang w:val="ru-RU"/>
        </w:rPr>
        <w:t>года не было крупных ДТ</w:t>
      </w:r>
      <w:r w:rsidR="00A43737">
        <w:rPr>
          <w:lang w:val="ru-RU"/>
        </w:rPr>
        <w:t>П, вызванных тракторной техникой</w:t>
      </w:r>
      <w:r w:rsidR="00723E8F">
        <w:rPr>
          <w:lang w:val="ru-RU"/>
        </w:rPr>
        <w:t xml:space="preserve">, в которых был бы причинен ущерб здоровью или имуществу людей», - рассказывает Я. </w:t>
      </w:r>
      <w:proofErr w:type="spellStart"/>
      <w:r w:rsidR="00723E8F">
        <w:rPr>
          <w:lang w:val="ru-RU"/>
        </w:rPr>
        <w:t>Абашин</w:t>
      </w:r>
      <w:proofErr w:type="spellEnd"/>
      <w:r w:rsidR="00723E8F">
        <w:rPr>
          <w:lang w:val="ru-RU"/>
        </w:rPr>
        <w:t xml:space="preserve">. </w:t>
      </w:r>
    </w:p>
    <w:p w14:paraId="7A79ECF6" w14:textId="6E417589" w:rsidR="00723E8F" w:rsidRDefault="00723E8F" w:rsidP="00723E8F">
      <w:pPr>
        <w:spacing w:after="0" w:line="240" w:lineRule="auto"/>
        <w:ind w:right="4819"/>
        <w:jc w:val="both"/>
        <w:rPr>
          <w:lang w:val="ru-RU"/>
        </w:rPr>
      </w:pPr>
    </w:p>
    <w:p w14:paraId="76854DE7" w14:textId="76106409" w:rsidR="00575102" w:rsidRPr="00224AA3" w:rsidRDefault="00723E8F" w:rsidP="00185A7D">
      <w:pPr>
        <w:spacing w:after="0" w:line="240" w:lineRule="auto"/>
        <w:ind w:right="4819"/>
        <w:jc w:val="both"/>
        <w:rPr>
          <w:lang w:val="ru-RU"/>
        </w:rPr>
      </w:pPr>
      <w:r>
        <w:rPr>
          <w:lang w:val="ru-RU"/>
        </w:rPr>
        <w:t xml:space="preserve">Численно наибольшая доля ДТП традиционно приходится на сегмент легковых автомобилей, </w:t>
      </w:r>
      <w:r w:rsidR="00A9509F">
        <w:rPr>
          <w:lang w:val="ru-RU"/>
        </w:rPr>
        <w:t>кроме того</w:t>
      </w:r>
      <w:r>
        <w:rPr>
          <w:lang w:val="ru-RU"/>
        </w:rPr>
        <w:t>, наблюдается тенденция к увеличению их числа</w:t>
      </w:r>
      <w:r w:rsidR="00224AA3">
        <w:t xml:space="preserve"> – </w:t>
      </w:r>
      <w:r w:rsidR="00224AA3">
        <w:rPr>
          <w:lang w:val="ru-RU"/>
        </w:rPr>
        <w:t>в 2014 году легковые транспортные средства вызвали 25566 ДТП, в 2015 году – 27767, а в 2016 – 29721 ДТП. В то же время средняя компенсация за причиненный легковым</w:t>
      </w:r>
      <w:r w:rsidR="00A43737">
        <w:rPr>
          <w:lang w:val="ru-RU"/>
        </w:rPr>
        <w:t>и</w:t>
      </w:r>
      <w:r w:rsidR="00224AA3">
        <w:rPr>
          <w:lang w:val="ru-RU"/>
        </w:rPr>
        <w:t xml:space="preserve"> транспортным</w:t>
      </w:r>
      <w:r w:rsidR="00A43737">
        <w:rPr>
          <w:lang w:val="ru-RU"/>
        </w:rPr>
        <w:t>и</w:t>
      </w:r>
      <w:r w:rsidR="00224AA3">
        <w:rPr>
          <w:lang w:val="ru-RU"/>
        </w:rPr>
        <w:t xml:space="preserve"> средствам</w:t>
      </w:r>
      <w:r w:rsidR="00A43737">
        <w:rPr>
          <w:lang w:val="ru-RU"/>
        </w:rPr>
        <w:t>и</w:t>
      </w:r>
      <w:r w:rsidR="00224AA3">
        <w:rPr>
          <w:lang w:val="ru-RU"/>
        </w:rPr>
        <w:t xml:space="preserve"> ущерб существенно не поменялась – в 2014 году – 1181 евро, на год позже – 1212 евро, а в 2016 году – 1099 евро. </w:t>
      </w:r>
    </w:p>
    <w:p w14:paraId="2258A91B" w14:textId="7D1B0477" w:rsidR="00575102" w:rsidRDefault="00575102" w:rsidP="00A41234">
      <w:pPr>
        <w:spacing w:after="0" w:line="240" w:lineRule="auto"/>
        <w:jc w:val="both"/>
      </w:pPr>
    </w:p>
    <w:p w14:paraId="6BEE0638" w14:textId="5343EFA1" w:rsidR="00224AA3" w:rsidRDefault="00A9509F" w:rsidP="00185A7D">
      <w:pPr>
        <w:spacing w:after="0" w:line="240" w:lineRule="auto"/>
        <w:ind w:right="4819"/>
        <w:jc w:val="both"/>
        <w:rPr>
          <w:lang w:val="ru-RU"/>
        </w:rPr>
      </w:pPr>
      <w:r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366B76A3" wp14:editId="02CF1993">
            <wp:simplePos x="0" y="0"/>
            <wp:positionH relativeFrom="column">
              <wp:posOffset>3545840</wp:posOffset>
            </wp:positionH>
            <wp:positionV relativeFrom="paragraph">
              <wp:posOffset>1816100</wp:posOffset>
            </wp:positionV>
            <wp:extent cx="2895600" cy="1566545"/>
            <wp:effectExtent l="0" t="0" r="0" b="14605"/>
            <wp:wrapThrough wrapText="bothSides">
              <wp:wrapPolygon edited="0">
                <wp:start x="0" y="0"/>
                <wp:lineTo x="0" y="21539"/>
                <wp:lineTo x="21458" y="21539"/>
                <wp:lineTo x="21458" y="0"/>
                <wp:lineTo x="0" y="0"/>
              </wp:wrapPolygon>
            </wp:wrapThrough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8480" behindDoc="0" locked="0" layoutInCell="1" allowOverlap="1" wp14:anchorId="48F263EA" wp14:editId="53201409">
            <wp:simplePos x="0" y="0"/>
            <wp:positionH relativeFrom="column">
              <wp:posOffset>3526790</wp:posOffset>
            </wp:positionH>
            <wp:positionV relativeFrom="paragraph">
              <wp:posOffset>13335</wp:posOffset>
            </wp:positionV>
            <wp:extent cx="2990850" cy="1647825"/>
            <wp:effectExtent l="0" t="0" r="0" b="9525"/>
            <wp:wrapNone/>
            <wp:docPr id="17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F17FDC">
        <w:rPr>
          <w:lang w:val="ru-RU"/>
        </w:rPr>
        <w:t xml:space="preserve">Относительно </w:t>
      </w:r>
      <w:r w:rsidR="00224AA3">
        <w:rPr>
          <w:lang w:val="ru-RU"/>
        </w:rPr>
        <w:t>большая доля приходится на средние компенсации за убытки</w:t>
      </w:r>
      <w:r w:rsidR="00A43737">
        <w:rPr>
          <w:lang w:val="ru-RU"/>
        </w:rPr>
        <w:t>, причиненные трамваями и троллейбусами</w:t>
      </w:r>
      <w:r w:rsidR="00224AA3">
        <w:rPr>
          <w:lang w:val="ru-RU"/>
        </w:rPr>
        <w:t>. В 20</w:t>
      </w:r>
      <w:bookmarkStart w:id="0" w:name="_GoBack"/>
      <w:bookmarkEnd w:id="0"/>
      <w:r w:rsidR="00224AA3">
        <w:rPr>
          <w:lang w:val="ru-RU"/>
        </w:rPr>
        <w:t>14 году средняя компенсация за ущерб, причиненный этим</w:t>
      </w:r>
      <w:r w:rsidR="00A43737">
        <w:rPr>
          <w:lang w:val="ru-RU"/>
        </w:rPr>
        <w:t>и</w:t>
      </w:r>
      <w:r w:rsidR="00224AA3">
        <w:rPr>
          <w:lang w:val="ru-RU"/>
        </w:rPr>
        <w:t xml:space="preserve"> транспортным</w:t>
      </w:r>
      <w:r w:rsidR="00A43737">
        <w:rPr>
          <w:lang w:val="ru-RU"/>
        </w:rPr>
        <w:t>и</w:t>
      </w:r>
      <w:r w:rsidR="00224AA3">
        <w:rPr>
          <w:lang w:val="ru-RU"/>
        </w:rPr>
        <w:t xml:space="preserve"> средствам</w:t>
      </w:r>
      <w:r w:rsidR="00A43737">
        <w:rPr>
          <w:lang w:val="ru-RU"/>
        </w:rPr>
        <w:t>и</w:t>
      </w:r>
      <w:r w:rsidR="00224AA3">
        <w:rPr>
          <w:lang w:val="ru-RU"/>
        </w:rPr>
        <w:t>, составила 1321 евро, в 2015 году – 609 евро, а в 2016 году – 1321 евро. Следует отметить, что в первые три месяца 2017 года трамваи и троллейбусы вызвали 7 ДТП, а средняя компенсация за одну аварию составила 1662 евро. В свою очередь, в сегменте автобусов число вызванных ДТП и средняя компенсация осталась неизменной – в 2014 году автобусы вызвали 490 ДТП со средней компенсацией – 1057 евро, в 2015 году – 453 ДТП со средней компенсацией 1040 евро, а в прошлом году – 477 ДТП со средней компенсацией 1118 евро</w:t>
      </w:r>
    </w:p>
    <w:p w14:paraId="3FF767E5" w14:textId="0DFDBDDD" w:rsidR="00B443FF" w:rsidRDefault="00B443FF" w:rsidP="00224AA3">
      <w:pPr>
        <w:spacing w:after="0" w:line="240" w:lineRule="auto"/>
        <w:ind w:right="4819"/>
        <w:jc w:val="both"/>
      </w:pPr>
    </w:p>
    <w:p w14:paraId="3439A9F3" w14:textId="33182484" w:rsidR="00B443FF" w:rsidRDefault="00B443FF" w:rsidP="00A41234">
      <w:pPr>
        <w:spacing w:after="0" w:line="240" w:lineRule="auto"/>
        <w:jc w:val="both"/>
      </w:pPr>
    </w:p>
    <w:p w14:paraId="1BF2DDCE" w14:textId="4BEA58BC" w:rsidR="00CE1D80" w:rsidRDefault="00CE1D80" w:rsidP="009F275F">
      <w:pPr>
        <w:spacing w:after="0" w:line="240" w:lineRule="auto"/>
        <w:jc w:val="both"/>
      </w:pPr>
    </w:p>
    <w:p w14:paraId="785AFA89" w14:textId="3B225058" w:rsidR="00185A7D" w:rsidRDefault="00185A7D" w:rsidP="009F275F">
      <w:pPr>
        <w:spacing w:after="0" w:line="240" w:lineRule="auto"/>
        <w:jc w:val="both"/>
      </w:pPr>
    </w:p>
    <w:p w14:paraId="2E71044E" w14:textId="2ACBF47F" w:rsidR="00185A7D" w:rsidRDefault="00185A7D" w:rsidP="009F275F">
      <w:pPr>
        <w:spacing w:after="0" w:line="240" w:lineRule="auto"/>
        <w:jc w:val="both"/>
      </w:pPr>
    </w:p>
    <w:p w14:paraId="6D6F6A58" w14:textId="1ED6C603" w:rsidR="00F05625" w:rsidRDefault="00F05625" w:rsidP="00151B33">
      <w:pPr>
        <w:spacing w:after="0" w:line="240" w:lineRule="auto"/>
        <w:jc w:val="right"/>
      </w:pPr>
    </w:p>
    <w:p w14:paraId="6C2A36DC" w14:textId="77777777" w:rsidR="00224AA3" w:rsidRDefault="00224AA3" w:rsidP="00224AA3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1997 </w:t>
      </w:r>
      <w:proofErr w:type="spellStart"/>
      <w:r>
        <w:rPr>
          <w:sz w:val="20"/>
          <w:szCs w:val="20"/>
        </w:rPr>
        <w:t>году</w:t>
      </w:r>
      <w:proofErr w:type="spellEnd"/>
      <w:r>
        <w:rPr>
          <w:sz w:val="20"/>
          <w:szCs w:val="20"/>
        </w:rPr>
        <w:t xml:space="preserve"> в </w:t>
      </w:r>
      <w:proofErr w:type="spellStart"/>
      <w:r>
        <w:rPr>
          <w:sz w:val="20"/>
          <w:szCs w:val="20"/>
        </w:rPr>
        <w:t>Латвии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была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введена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система</w:t>
      </w:r>
      <w:proofErr w:type="spellEnd"/>
      <w:r>
        <w:rPr>
          <w:sz w:val="20"/>
          <w:szCs w:val="20"/>
        </w:rPr>
        <w:t xml:space="preserve"> ОСТА, </w:t>
      </w:r>
      <w:proofErr w:type="spellStart"/>
      <w:r>
        <w:rPr>
          <w:sz w:val="20"/>
          <w:szCs w:val="20"/>
        </w:rPr>
        <w:t>цель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которой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обеспечить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защиту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интересов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третьих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лиц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пострадавших</w:t>
      </w:r>
      <w:proofErr w:type="spellEnd"/>
      <w:r>
        <w:rPr>
          <w:sz w:val="20"/>
          <w:szCs w:val="20"/>
        </w:rPr>
        <w:t xml:space="preserve"> в </w:t>
      </w:r>
      <w:proofErr w:type="spellStart"/>
      <w:r>
        <w:rPr>
          <w:sz w:val="20"/>
          <w:szCs w:val="20"/>
        </w:rPr>
        <w:t>дорожном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движении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как</w:t>
      </w:r>
      <w:proofErr w:type="spellEnd"/>
      <w:r>
        <w:rPr>
          <w:sz w:val="20"/>
          <w:szCs w:val="20"/>
        </w:rPr>
        <w:t xml:space="preserve"> в </w:t>
      </w:r>
      <w:proofErr w:type="spellStart"/>
      <w:r>
        <w:rPr>
          <w:sz w:val="20"/>
          <w:szCs w:val="20"/>
        </w:rPr>
        <w:t>Латвии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так</w:t>
      </w:r>
      <w:proofErr w:type="spellEnd"/>
      <w:r>
        <w:rPr>
          <w:sz w:val="20"/>
          <w:szCs w:val="20"/>
        </w:rPr>
        <w:t xml:space="preserve"> в </w:t>
      </w:r>
      <w:proofErr w:type="spellStart"/>
      <w:r>
        <w:rPr>
          <w:sz w:val="20"/>
          <w:szCs w:val="20"/>
        </w:rPr>
        <w:t>странах-участницах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Зеленой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карты</w:t>
      </w:r>
      <w:proofErr w:type="spellEnd"/>
      <w:r>
        <w:rPr>
          <w:sz w:val="20"/>
          <w:szCs w:val="20"/>
        </w:rPr>
        <w:t xml:space="preserve">.  </w:t>
      </w:r>
      <w:proofErr w:type="spellStart"/>
      <w:r>
        <w:rPr>
          <w:sz w:val="20"/>
          <w:szCs w:val="20"/>
        </w:rPr>
        <w:t>Для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обеспечения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успешной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деятельности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системы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было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создано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Латвийское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Бюро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страховщиков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Транспортных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средств</w:t>
      </w:r>
      <w:proofErr w:type="spellEnd"/>
      <w:r>
        <w:rPr>
          <w:sz w:val="20"/>
          <w:szCs w:val="20"/>
        </w:rPr>
        <w:t xml:space="preserve"> (LTAB), </w:t>
      </w:r>
      <w:proofErr w:type="spellStart"/>
      <w:r>
        <w:rPr>
          <w:sz w:val="20"/>
          <w:szCs w:val="20"/>
        </w:rPr>
        <w:t>которое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объединяет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страховые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общества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обладающие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правом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производить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страхование</w:t>
      </w:r>
      <w:proofErr w:type="spellEnd"/>
      <w:r>
        <w:rPr>
          <w:sz w:val="20"/>
          <w:szCs w:val="20"/>
        </w:rPr>
        <w:t xml:space="preserve"> ОСТА в </w:t>
      </w:r>
      <w:proofErr w:type="spellStart"/>
      <w:r>
        <w:rPr>
          <w:sz w:val="20"/>
          <w:szCs w:val="20"/>
        </w:rPr>
        <w:t>Латвии</w:t>
      </w:r>
      <w:proofErr w:type="spellEnd"/>
      <w:r>
        <w:rPr>
          <w:sz w:val="20"/>
          <w:szCs w:val="20"/>
        </w:rPr>
        <w:t xml:space="preserve"> - AAS “Balta”, AAS “Baltijas </w:t>
      </w:r>
      <w:proofErr w:type="spellStart"/>
      <w:r>
        <w:rPr>
          <w:sz w:val="20"/>
          <w:szCs w:val="20"/>
        </w:rPr>
        <w:t>Apdrosinasanas</w:t>
      </w:r>
      <w:proofErr w:type="spellEnd"/>
      <w:r>
        <w:rPr>
          <w:sz w:val="20"/>
          <w:szCs w:val="20"/>
        </w:rPr>
        <w:t xml:space="preserve"> Nams”, AAS “Baltikums </w:t>
      </w:r>
      <w:proofErr w:type="spellStart"/>
      <w:r>
        <w:rPr>
          <w:sz w:val="20"/>
          <w:szCs w:val="20"/>
        </w:rPr>
        <w:t>Vienna</w:t>
      </w:r>
      <w:proofErr w:type="spellEnd"/>
      <w:r>
        <w:rPr>
          <w:sz w:val="20"/>
          <w:szCs w:val="20"/>
        </w:rPr>
        <w:t xml:space="preserve"> Insurance </w:t>
      </w:r>
      <w:proofErr w:type="spellStart"/>
      <w:r>
        <w:rPr>
          <w:sz w:val="20"/>
          <w:szCs w:val="20"/>
        </w:rPr>
        <w:t>Group</w:t>
      </w:r>
      <w:proofErr w:type="spellEnd"/>
      <w:r>
        <w:rPr>
          <w:sz w:val="20"/>
          <w:szCs w:val="20"/>
        </w:rPr>
        <w:t xml:space="preserve">”, AAS “BTA </w:t>
      </w:r>
      <w:proofErr w:type="spellStart"/>
      <w:r>
        <w:rPr>
          <w:sz w:val="20"/>
          <w:szCs w:val="20"/>
        </w:rPr>
        <w:t>Baltic</w:t>
      </w:r>
      <w:proofErr w:type="spellEnd"/>
      <w:r>
        <w:rPr>
          <w:sz w:val="20"/>
          <w:szCs w:val="20"/>
        </w:rPr>
        <w:t xml:space="preserve"> Insurance </w:t>
      </w:r>
      <w:proofErr w:type="spellStart"/>
      <w:r>
        <w:rPr>
          <w:sz w:val="20"/>
          <w:szCs w:val="20"/>
        </w:rPr>
        <w:t>Company</w:t>
      </w:r>
      <w:proofErr w:type="spellEnd"/>
      <w:r>
        <w:rPr>
          <w:sz w:val="20"/>
          <w:szCs w:val="20"/>
        </w:rPr>
        <w:t xml:space="preserve">”, </w:t>
      </w:r>
      <w:proofErr w:type="spellStart"/>
      <w:r>
        <w:rPr>
          <w:sz w:val="20"/>
          <w:szCs w:val="20"/>
        </w:rPr>
        <w:t>латвийский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филиал</w:t>
      </w:r>
      <w:proofErr w:type="spellEnd"/>
      <w:r>
        <w:rPr>
          <w:sz w:val="20"/>
          <w:szCs w:val="20"/>
        </w:rPr>
        <w:t xml:space="preserve"> UADB “</w:t>
      </w:r>
      <w:proofErr w:type="spellStart"/>
      <w:r>
        <w:rPr>
          <w:sz w:val="20"/>
          <w:szCs w:val="20"/>
        </w:rPr>
        <w:t>Compensa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Vienna</w:t>
      </w:r>
      <w:proofErr w:type="spellEnd"/>
      <w:r>
        <w:rPr>
          <w:sz w:val="20"/>
          <w:szCs w:val="20"/>
        </w:rPr>
        <w:t xml:space="preserve"> Insurance </w:t>
      </w:r>
      <w:proofErr w:type="spellStart"/>
      <w:r>
        <w:rPr>
          <w:sz w:val="20"/>
          <w:szCs w:val="20"/>
        </w:rPr>
        <w:t>Group</w:t>
      </w:r>
      <w:proofErr w:type="spellEnd"/>
      <w:r>
        <w:rPr>
          <w:sz w:val="20"/>
          <w:szCs w:val="20"/>
        </w:rPr>
        <w:t xml:space="preserve">”, </w:t>
      </w:r>
      <w:proofErr w:type="spellStart"/>
      <w:r>
        <w:rPr>
          <w:sz w:val="20"/>
          <w:szCs w:val="20"/>
        </w:rPr>
        <w:t>латвийский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филиал</w:t>
      </w:r>
      <w:proofErr w:type="spellEnd"/>
      <w:r>
        <w:rPr>
          <w:sz w:val="20"/>
          <w:szCs w:val="20"/>
        </w:rPr>
        <w:t xml:space="preserve"> SE “ERGO Insurance”, AAS “</w:t>
      </w:r>
      <w:proofErr w:type="spellStart"/>
      <w:r>
        <w:rPr>
          <w:sz w:val="20"/>
          <w:szCs w:val="20"/>
        </w:rPr>
        <w:t>Gjensidige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Baltic</w:t>
      </w:r>
      <w:proofErr w:type="spellEnd"/>
      <w:r>
        <w:rPr>
          <w:sz w:val="20"/>
          <w:szCs w:val="20"/>
        </w:rPr>
        <w:t xml:space="preserve">”, </w:t>
      </w:r>
      <w:proofErr w:type="spellStart"/>
      <w:r>
        <w:rPr>
          <w:sz w:val="20"/>
          <w:szCs w:val="20"/>
        </w:rPr>
        <w:t>латвийский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филиал</w:t>
      </w:r>
      <w:proofErr w:type="spellEnd"/>
      <w:r>
        <w:rPr>
          <w:sz w:val="20"/>
          <w:szCs w:val="20"/>
        </w:rPr>
        <w:t xml:space="preserve"> AS “</w:t>
      </w:r>
      <w:proofErr w:type="spellStart"/>
      <w:r>
        <w:rPr>
          <w:sz w:val="20"/>
          <w:szCs w:val="20"/>
        </w:rPr>
        <w:t>If</w:t>
      </w:r>
      <w:proofErr w:type="spellEnd"/>
      <w:r>
        <w:rPr>
          <w:sz w:val="20"/>
          <w:szCs w:val="20"/>
        </w:rPr>
        <w:t xml:space="preserve"> P&amp;C Insurance”, </w:t>
      </w:r>
      <w:proofErr w:type="spellStart"/>
      <w:r>
        <w:rPr>
          <w:sz w:val="20"/>
          <w:szCs w:val="20"/>
        </w:rPr>
        <w:t>латвийский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филиал</w:t>
      </w:r>
      <w:proofErr w:type="spellEnd"/>
      <w:r>
        <w:rPr>
          <w:sz w:val="20"/>
          <w:szCs w:val="20"/>
        </w:rPr>
        <w:t xml:space="preserve"> AS “</w:t>
      </w:r>
      <w:proofErr w:type="spellStart"/>
      <w:r>
        <w:rPr>
          <w:sz w:val="20"/>
          <w:szCs w:val="20"/>
        </w:rPr>
        <w:t>Seesam</w:t>
      </w:r>
      <w:proofErr w:type="spellEnd"/>
      <w:r>
        <w:rPr>
          <w:sz w:val="20"/>
          <w:szCs w:val="20"/>
        </w:rPr>
        <w:t xml:space="preserve"> Insurance” AS и </w:t>
      </w:r>
      <w:proofErr w:type="spellStart"/>
      <w:r>
        <w:rPr>
          <w:sz w:val="20"/>
          <w:szCs w:val="20"/>
        </w:rPr>
        <w:t>латвийский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филиал</w:t>
      </w:r>
      <w:proofErr w:type="spellEnd"/>
      <w:r>
        <w:rPr>
          <w:sz w:val="20"/>
          <w:szCs w:val="20"/>
        </w:rPr>
        <w:t xml:space="preserve"> AS “Swedbank P&amp;C Insurance”.</w:t>
      </w:r>
    </w:p>
    <w:p w14:paraId="2A8799CC" w14:textId="77777777" w:rsidR="00224AA3" w:rsidRDefault="00224AA3" w:rsidP="00224AA3">
      <w:pPr>
        <w:spacing w:after="0" w:line="240" w:lineRule="auto"/>
        <w:rPr>
          <w:sz w:val="20"/>
          <w:szCs w:val="20"/>
        </w:rPr>
      </w:pPr>
    </w:p>
    <w:p w14:paraId="2F23F4F6" w14:textId="77777777" w:rsidR="00224AA3" w:rsidRDefault="00224AA3" w:rsidP="00224AA3">
      <w:pPr>
        <w:spacing w:after="0" w:line="240" w:lineRule="auto"/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Информацию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подготовил</w:t>
      </w:r>
      <w:proofErr w:type="spellEnd"/>
      <w:r>
        <w:rPr>
          <w:sz w:val="20"/>
          <w:szCs w:val="20"/>
        </w:rPr>
        <w:t xml:space="preserve">: </w:t>
      </w:r>
    </w:p>
    <w:p w14:paraId="117950A5" w14:textId="77777777" w:rsidR="00224AA3" w:rsidRDefault="00224AA3" w:rsidP="00224AA3">
      <w:pPr>
        <w:spacing w:after="0" w:line="240" w:lineRule="auto"/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Консультант</w:t>
      </w:r>
      <w:proofErr w:type="spellEnd"/>
      <w:r>
        <w:rPr>
          <w:sz w:val="20"/>
          <w:szCs w:val="20"/>
        </w:rPr>
        <w:t xml:space="preserve"> LTAB </w:t>
      </w:r>
      <w:proofErr w:type="spellStart"/>
      <w:r>
        <w:rPr>
          <w:sz w:val="20"/>
          <w:szCs w:val="20"/>
        </w:rPr>
        <w:t>по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общественным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отношениям</w:t>
      </w:r>
      <w:proofErr w:type="spellEnd"/>
      <w:r>
        <w:rPr>
          <w:sz w:val="20"/>
          <w:szCs w:val="20"/>
        </w:rPr>
        <w:t xml:space="preserve"> </w:t>
      </w:r>
    </w:p>
    <w:p w14:paraId="76178428" w14:textId="77777777" w:rsidR="00224AA3" w:rsidRDefault="00224AA3" w:rsidP="00224AA3">
      <w:pPr>
        <w:spacing w:after="0" w:line="240" w:lineRule="auto"/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Гинтс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Лаздиньш</w:t>
      </w:r>
      <w:proofErr w:type="spellEnd"/>
    </w:p>
    <w:p w14:paraId="7F35F7E6" w14:textId="77777777" w:rsidR="00224AA3" w:rsidRDefault="00224AA3" w:rsidP="00224AA3">
      <w:pPr>
        <w:spacing w:after="0" w:line="240" w:lineRule="auto"/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Тел</w:t>
      </w:r>
      <w:proofErr w:type="spellEnd"/>
      <w:r>
        <w:rPr>
          <w:sz w:val="20"/>
          <w:szCs w:val="20"/>
        </w:rPr>
        <w:t xml:space="preserve">.: +371 29442282 </w:t>
      </w:r>
    </w:p>
    <w:p w14:paraId="5F650DCA" w14:textId="0AA37904" w:rsidR="00DF5C64" w:rsidRPr="00224AA3" w:rsidRDefault="00224AA3" w:rsidP="00224AA3">
      <w:pPr>
        <w:jc w:val="right"/>
        <w:rPr>
          <w:lang w:val="ru-RU"/>
        </w:rPr>
      </w:pPr>
      <w:r>
        <w:rPr>
          <w:sz w:val="20"/>
          <w:szCs w:val="20"/>
        </w:rPr>
        <w:t>E-</w:t>
      </w:r>
      <w:proofErr w:type="spellStart"/>
      <w:r>
        <w:rPr>
          <w:sz w:val="20"/>
          <w:szCs w:val="20"/>
        </w:rPr>
        <w:t>мейл</w:t>
      </w:r>
      <w:proofErr w:type="spellEnd"/>
      <w:r>
        <w:rPr>
          <w:sz w:val="20"/>
          <w:szCs w:val="20"/>
        </w:rPr>
        <w:t xml:space="preserve">: </w:t>
      </w:r>
      <w:hyperlink r:id="rId13" w:history="1">
        <w:r>
          <w:rPr>
            <w:rStyle w:val="Hyperlink"/>
            <w:sz w:val="20"/>
            <w:szCs w:val="20"/>
          </w:rPr>
          <w:t>gints@olsen.lv</w:t>
        </w:r>
      </w:hyperlink>
    </w:p>
    <w:sectPr w:rsidR="00DF5C64" w:rsidRPr="00224AA3" w:rsidSect="00510887">
      <w:headerReference w:type="default" r:id="rId14"/>
      <w:footerReference w:type="default" r:id="rId15"/>
      <w:pgSz w:w="11906" w:h="16838"/>
      <w:pgMar w:top="709" w:right="1133" w:bottom="1560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BF6F55" w14:textId="77777777" w:rsidR="00951197" w:rsidRDefault="00951197" w:rsidP="00C62AF7">
      <w:pPr>
        <w:spacing w:after="0" w:line="240" w:lineRule="auto"/>
      </w:pPr>
      <w:r>
        <w:separator/>
      </w:r>
    </w:p>
  </w:endnote>
  <w:endnote w:type="continuationSeparator" w:id="0">
    <w:p w14:paraId="5F87927A" w14:textId="77777777" w:rsidR="00951197" w:rsidRDefault="00951197" w:rsidP="00C6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8368EF" w14:textId="77777777" w:rsidR="00833B2A" w:rsidRDefault="00833B2A" w:rsidP="00C62AF7">
    <w:pPr>
      <w:pStyle w:val="Footer"/>
      <w:jc w:val="cen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F781596" wp14:editId="0CE0D544">
              <wp:simplePos x="0" y="0"/>
              <wp:positionH relativeFrom="column">
                <wp:posOffset>-304454</wp:posOffset>
              </wp:positionH>
              <wp:positionV relativeFrom="paragraph">
                <wp:posOffset>57612</wp:posOffset>
              </wp:positionV>
              <wp:extent cx="6716684" cy="8313"/>
              <wp:effectExtent l="0" t="0" r="27305" b="2984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6684" cy="8313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<w:pict>
            <v:line w14:anchorId="5300E467" id="Straight Connector 1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95pt,4.55pt" to="504.9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" strokecolor="#a5a5a5 [2092]" strokeweight="1.5pt"/>
          </w:pict>
        </mc:Fallback>
      </mc:AlternateContent>
    </w:r>
  </w:p>
  <w:p w14:paraId="265D50DF" w14:textId="77777777" w:rsidR="00833B2A" w:rsidRDefault="00833B2A" w:rsidP="00C62AF7">
    <w:pPr>
      <w:pStyle w:val="Footer"/>
      <w:jc w:val="center"/>
    </w:pPr>
    <w:r>
      <w:object w:dxaOrig="8490" w:dyaOrig="433" w14:anchorId="286246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84.75pt;height:20.25pt" o:ole="">
          <v:imagedata r:id="rId1" o:title=""/>
        </v:shape>
        <o:OLEObject Type="Embed" ProgID="CorelDraw.Graphic.17" ShapeID="_x0000_i1026" DrawAspect="Content" ObjectID="_1554196375" r:id="rId2"/>
      </w:object>
    </w:r>
  </w:p>
  <w:p w14:paraId="64F44FC1" w14:textId="77777777" w:rsidR="00833B2A" w:rsidRDefault="00833B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192E32" w14:textId="77777777" w:rsidR="00951197" w:rsidRDefault="00951197" w:rsidP="00C62AF7">
      <w:pPr>
        <w:spacing w:after="0" w:line="240" w:lineRule="auto"/>
      </w:pPr>
      <w:r>
        <w:separator/>
      </w:r>
    </w:p>
  </w:footnote>
  <w:footnote w:type="continuationSeparator" w:id="0">
    <w:p w14:paraId="42A86FB9" w14:textId="77777777" w:rsidR="00951197" w:rsidRDefault="00951197" w:rsidP="00C6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89879" w14:textId="13596C43" w:rsidR="00833B2A" w:rsidRDefault="00833B2A">
    <w:pPr>
      <w:pStyle w:val="Header"/>
    </w:pPr>
    <w:r>
      <w:object w:dxaOrig="2843" w:dyaOrig="1013" w14:anchorId="78A5E6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7.5pt;height:47.25pt" o:ole="">
          <v:imagedata r:id="rId1" o:title=""/>
        </v:shape>
        <o:OLEObject Type="Embed" ProgID="CorelDraw.Graphic.17" ShapeID="_x0000_i1025" DrawAspect="Content" ObjectID="_1554196374" r:id="rId2"/>
      </w:object>
    </w:r>
  </w:p>
  <w:p w14:paraId="40EE4661" w14:textId="77777777" w:rsidR="00833B2A" w:rsidRDefault="00833B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F7"/>
    <w:rsid w:val="00006599"/>
    <w:rsid w:val="00010508"/>
    <w:rsid w:val="00010EF9"/>
    <w:rsid w:val="000125F1"/>
    <w:rsid w:val="00013C1F"/>
    <w:rsid w:val="00015B25"/>
    <w:rsid w:val="00016695"/>
    <w:rsid w:val="000176BE"/>
    <w:rsid w:val="00021833"/>
    <w:rsid w:val="00022C67"/>
    <w:rsid w:val="00041290"/>
    <w:rsid w:val="000435F4"/>
    <w:rsid w:val="000533E0"/>
    <w:rsid w:val="00060C71"/>
    <w:rsid w:val="0006455E"/>
    <w:rsid w:val="00070950"/>
    <w:rsid w:val="00073403"/>
    <w:rsid w:val="000745BC"/>
    <w:rsid w:val="0008000A"/>
    <w:rsid w:val="00086780"/>
    <w:rsid w:val="0008728F"/>
    <w:rsid w:val="00093197"/>
    <w:rsid w:val="000A24A2"/>
    <w:rsid w:val="000A3E9D"/>
    <w:rsid w:val="000B1FD0"/>
    <w:rsid w:val="000B7AA8"/>
    <w:rsid w:val="000C172C"/>
    <w:rsid w:val="000D007C"/>
    <w:rsid w:val="000D5F6E"/>
    <w:rsid w:val="000E5A62"/>
    <w:rsid w:val="000F0C20"/>
    <w:rsid w:val="000F34C5"/>
    <w:rsid w:val="000F368A"/>
    <w:rsid w:val="000F53A2"/>
    <w:rsid w:val="000F61C1"/>
    <w:rsid w:val="000F74EB"/>
    <w:rsid w:val="000F7CB0"/>
    <w:rsid w:val="00103A6F"/>
    <w:rsid w:val="00103B45"/>
    <w:rsid w:val="00110F4A"/>
    <w:rsid w:val="001119E7"/>
    <w:rsid w:val="00112291"/>
    <w:rsid w:val="00120985"/>
    <w:rsid w:val="001340B7"/>
    <w:rsid w:val="00135E74"/>
    <w:rsid w:val="001431F7"/>
    <w:rsid w:val="001445EC"/>
    <w:rsid w:val="00145203"/>
    <w:rsid w:val="00151B33"/>
    <w:rsid w:val="00152B19"/>
    <w:rsid w:val="00153B22"/>
    <w:rsid w:val="00154C25"/>
    <w:rsid w:val="00155CE3"/>
    <w:rsid w:val="00160E86"/>
    <w:rsid w:val="001655C5"/>
    <w:rsid w:val="00166C12"/>
    <w:rsid w:val="00171015"/>
    <w:rsid w:val="001738D1"/>
    <w:rsid w:val="00181E1E"/>
    <w:rsid w:val="0018459B"/>
    <w:rsid w:val="001846F2"/>
    <w:rsid w:val="00184E54"/>
    <w:rsid w:val="00185A7D"/>
    <w:rsid w:val="00186FD3"/>
    <w:rsid w:val="00187964"/>
    <w:rsid w:val="001963D9"/>
    <w:rsid w:val="00196469"/>
    <w:rsid w:val="001A142C"/>
    <w:rsid w:val="001A4E17"/>
    <w:rsid w:val="001B1C72"/>
    <w:rsid w:val="001B3680"/>
    <w:rsid w:val="001C65E0"/>
    <w:rsid w:val="001C6D91"/>
    <w:rsid w:val="001C7747"/>
    <w:rsid w:val="001D3B28"/>
    <w:rsid w:val="001D6AEF"/>
    <w:rsid w:val="001D6CAF"/>
    <w:rsid w:val="001E39A7"/>
    <w:rsid w:val="001E57C6"/>
    <w:rsid w:val="001E78D1"/>
    <w:rsid w:val="001F04CB"/>
    <w:rsid w:val="001F47D8"/>
    <w:rsid w:val="001F5C43"/>
    <w:rsid w:val="002016E8"/>
    <w:rsid w:val="00205130"/>
    <w:rsid w:val="00216791"/>
    <w:rsid w:val="00216F78"/>
    <w:rsid w:val="00217E8A"/>
    <w:rsid w:val="00221376"/>
    <w:rsid w:val="00224AA3"/>
    <w:rsid w:val="002253F8"/>
    <w:rsid w:val="002279AC"/>
    <w:rsid w:val="0023449D"/>
    <w:rsid w:val="002436EF"/>
    <w:rsid w:val="00243E31"/>
    <w:rsid w:val="0024513F"/>
    <w:rsid w:val="00253CFD"/>
    <w:rsid w:val="00263392"/>
    <w:rsid w:val="002727E1"/>
    <w:rsid w:val="00273364"/>
    <w:rsid w:val="0027402E"/>
    <w:rsid w:val="00280BD4"/>
    <w:rsid w:val="00282CE2"/>
    <w:rsid w:val="0029015C"/>
    <w:rsid w:val="00292BF3"/>
    <w:rsid w:val="00296055"/>
    <w:rsid w:val="002A03F7"/>
    <w:rsid w:val="002A38DE"/>
    <w:rsid w:val="002A52FD"/>
    <w:rsid w:val="002B2FAD"/>
    <w:rsid w:val="002B58F6"/>
    <w:rsid w:val="002B7295"/>
    <w:rsid w:val="002C2CEA"/>
    <w:rsid w:val="002D1D89"/>
    <w:rsid w:val="002D25F4"/>
    <w:rsid w:val="002D32B8"/>
    <w:rsid w:val="002D3AB9"/>
    <w:rsid w:val="002D5F23"/>
    <w:rsid w:val="002D6445"/>
    <w:rsid w:val="002E6ADF"/>
    <w:rsid w:val="002E725B"/>
    <w:rsid w:val="002F3145"/>
    <w:rsid w:val="002F389F"/>
    <w:rsid w:val="002F4D1A"/>
    <w:rsid w:val="003007EF"/>
    <w:rsid w:val="003024C6"/>
    <w:rsid w:val="00305DCF"/>
    <w:rsid w:val="00312824"/>
    <w:rsid w:val="00315828"/>
    <w:rsid w:val="00325139"/>
    <w:rsid w:val="003300CB"/>
    <w:rsid w:val="00330359"/>
    <w:rsid w:val="00334D2A"/>
    <w:rsid w:val="00335A08"/>
    <w:rsid w:val="00335E54"/>
    <w:rsid w:val="00336BE2"/>
    <w:rsid w:val="00340007"/>
    <w:rsid w:val="00345E17"/>
    <w:rsid w:val="00346FDE"/>
    <w:rsid w:val="00357F64"/>
    <w:rsid w:val="00363907"/>
    <w:rsid w:val="00375A03"/>
    <w:rsid w:val="00384B18"/>
    <w:rsid w:val="00385533"/>
    <w:rsid w:val="00386C8A"/>
    <w:rsid w:val="00390645"/>
    <w:rsid w:val="0039669D"/>
    <w:rsid w:val="00396EFB"/>
    <w:rsid w:val="00397657"/>
    <w:rsid w:val="003A520B"/>
    <w:rsid w:val="003A6799"/>
    <w:rsid w:val="003B0475"/>
    <w:rsid w:val="003B2D0B"/>
    <w:rsid w:val="003C122B"/>
    <w:rsid w:val="003D14B9"/>
    <w:rsid w:val="003D5E60"/>
    <w:rsid w:val="003E02A4"/>
    <w:rsid w:val="003E13A4"/>
    <w:rsid w:val="003E6E33"/>
    <w:rsid w:val="003F10BB"/>
    <w:rsid w:val="003F2F8C"/>
    <w:rsid w:val="003F36C2"/>
    <w:rsid w:val="003F74BF"/>
    <w:rsid w:val="00402BD0"/>
    <w:rsid w:val="00403AB9"/>
    <w:rsid w:val="00404652"/>
    <w:rsid w:val="004112AC"/>
    <w:rsid w:val="0041244B"/>
    <w:rsid w:val="00431C3C"/>
    <w:rsid w:val="00436DF9"/>
    <w:rsid w:val="0044242E"/>
    <w:rsid w:val="00447419"/>
    <w:rsid w:val="00451B66"/>
    <w:rsid w:val="00451BD8"/>
    <w:rsid w:val="00460A0D"/>
    <w:rsid w:val="00461B1B"/>
    <w:rsid w:val="004622DA"/>
    <w:rsid w:val="00465ED2"/>
    <w:rsid w:val="0046691C"/>
    <w:rsid w:val="00471AE6"/>
    <w:rsid w:val="00474AAB"/>
    <w:rsid w:val="00475A9E"/>
    <w:rsid w:val="00480545"/>
    <w:rsid w:val="00480708"/>
    <w:rsid w:val="004813D9"/>
    <w:rsid w:val="00484E15"/>
    <w:rsid w:val="00486439"/>
    <w:rsid w:val="00492F0D"/>
    <w:rsid w:val="004A2F78"/>
    <w:rsid w:val="004A620B"/>
    <w:rsid w:val="004A6EE1"/>
    <w:rsid w:val="004B2DA3"/>
    <w:rsid w:val="004C0D4E"/>
    <w:rsid w:val="004C32E0"/>
    <w:rsid w:val="004D059C"/>
    <w:rsid w:val="004D73A6"/>
    <w:rsid w:val="004E29C1"/>
    <w:rsid w:val="004E5C6C"/>
    <w:rsid w:val="004F1A8A"/>
    <w:rsid w:val="005008F0"/>
    <w:rsid w:val="00501B89"/>
    <w:rsid w:val="00504390"/>
    <w:rsid w:val="00506229"/>
    <w:rsid w:val="00506CDA"/>
    <w:rsid w:val="005072EA"/>
    <w:rsid w:val="00510887"/>
    <w:rsid w:val="005133BE"/>
    <w:rsid w:val="00520799"/>
    <w:rsid w:val="00523EC3"/>
    <w:rsid w:val="0052615C"/>
    <w:rsid w:val="005313E6"/>
    <w:rsid w:val="005315DA"/>
    <w:rsid w:val="005342F8"/>
    <w:rsid w:val="00540C5C"/>
    <w:rsid w:val="005512E1"/>
    <w:rsid w:val="00557F5F"/>
    <w:rsid w:val="005671D2"/>
    <w:rsid w:val="00567862"/>
    <w:rsid w:val="00575102"/>
    <w:rsid w:val="005818DE"/>
    <w:rsid w:val="005821A4"/>
    <w:rsid w:val="00582532"/>
    <w:rsid w:val="00586C84"/>
    <w:rsid w:val="00590ADB"/>
    <w:rsid w:val="0059102E"/>
    <w:rsid w:val="00593CD2"/>
    <w:rsid w:val="005A7001"/>
    <w:rsid w:val="005B0F55"/>
    <w:rsid w:val="005C6D9A"/>
    <w:rsid w:val="005D5B25"/>
    <w:rsid w:val="005E2370"/>
    <w:rsid w:val="005E2D9E"/>
    <w:rsid w:val="005E2F32"/>
    <w:rsid w:val="005E69F5"/>
    <w:rsid w:val="005E74C5"/>
    <w:rsid w:val="005F1C99"/>
    <w:rsid w:val="005F3391"/>
    <w:rsid w:val="005F5BC0"/>
    <w:rsid w:val="005F6B41"/>
    <w:rsid w:val="005F771B"/>
    <w:rsid w:val="005F795A"/>
    <w:rsid w:val="00600EC3"/>
    <w:rsid w:val="00602385"/>
    <w:rsid w:val="00605E15"/>
    <w:rsid w:val="006101CF"/>
    <w:rsid w:val="00610DEE"/>
    <w:rsid w:val="00617E51"/>
    <w:rsid w:val="00635C0E"/>
    <w:rsid w:val="00645C0E"/>
    <w:rsid w:val="0065233F"/>
    <w:rsid w:val="006610B2"/>
    <w:rsid w:val="00662FED"/>
    <w:rsid w:val="006634E4"/>
    <w:rsid w:val="00663D9A"/>
    <w:rsid w:val="00667B03"/>
    <w:rsid w:val="00675130"/>
    <w:rsid w:val="006923A8"/>
    <w:rsid w:val="00692C75"/>
    <w:rsid w:val="0069576E"/>
    <w:rsid w:val="0069593A"/>
    <w:rsid w:val="00696583"/>
    <w:rsid w:val="006A2F27"/>
    <w:rsid w:val="006B23F4"/>
    <w:rsid w:val="006C35A8"/>
    <w:rsid w:val="006E1375"/>
    <w:rsid w:val="006E2859"/>
    <w:rsid w:val="006E75CA"/>
    <w:rsid w:val="006F0D00"/>
    <w:rsid w:val="006F7771"/>
    <w:rsid w:val="00701B29"/>
    <w:rsid w:val="00702BAE"/>
    <w:rsid w:val="0070551C"/>
    <w:rsid w:val="00705EB1"/>
    <w:rsid w:val="00706A24"/>
    <w:rsid w:val="0070725D"/>
    <w:rsid w:val="007122CB"/>
    <w:rsid w:val="0071485D"/>
    <w:rsid w:val="00715F2F"/>
    <w:rsid w:val="00716B13"/>
    <w:rsid w:val="00720784"/>
    <w:rsid w:val="0072195C"/>
    <w:rsid w:val="00723E8F"/>
    <w:rsid w:val="00723F31"/>
    <w:rsid w:val="00740CC6"/>
    <w:rsid w:val="0074685B"/>
    <w:rsid w:val="00747125"/>
    <w:rsid w:val="007569F6"/>
    <w:rsid w:val="00760E54"/>
    <w:rsid w:val="007643E2"/>
    <w:rsid w:val="00771902"/>
    <w:rsid w:val="00773843"/>
    <w:rsid w:val="0078037B"/>
    <w:rsid w:val="00782114"/>
    <w:rsid w:val="007914A5"/>
    <w:rsid w:val="00791E9A"/>
    <w:rsid w:val="007967FD"/>
    <w:rsid w:val="007972A2"/>
    <w:rsid w:val="007979DF"/>
    <w:rsid w:val="007A15FB"/>
    <w:rsid w:val="007A3FD6"/>
    <w:rsid w:val="007A4BC7"/>
    <w:rsid w:val="007A4E28"/>
    <w:rsid w:val="007B51CC"/>
    <w:rsid w:val="007C1E05"/>
    <w:rsid w:val="007C4FE5"/>
    <w:rsid w:val="007D3379"/>
    <w:rsid w:val="007E495C"/>
    <w:rsid w:val="007F0EA4"/>
    <w:rsid w:val="007F3E18"/>
    <w:rsid w:val="00807C77"/>
    <w:rsid w:val="008114B8"/>
    <w:rsid w:val="008132CE"/>
    <w:rsid w:val="0081365C"/>
    <w:rsid w:val="00813660"/>
    <w:rsid w:val="00815229"/>
    <w:rsid w:val="00815B2E"/>
    <w:rsid w:val="00815D1D"/>
    <w:rsid w:val="0082244A"/>
    <w:rsid w:val="00822D57"/>
    <w:rsid w:val="008248DD"/>
    <w:rsid w:val="00824F40"/>
    <w:rsid w:val="008278BE"/>
    <w:rsid w:val="00830C71"/>
    <w:rsid w:val="00833B2A"/>
    <w:rsid w:val="00835431"/>
    <w:rsid w:val="00836D73"/>
    <w:rsid w:val="00851736"/>
    <w:rsid w:val="00855E8D"/>
    <w:rsid w:val="00856A38"/>
    <w:rsid w:val="00861C25"/>
    <w:rsid w:val="00862629"/>
    <w:rsid w:val="00864AC7"/>
    <w:rsid w:val="00864B20"/>
    <w:rsid w:val="008662D7"/>
    <w:rsid w:val="00870228"/>
    <w:rsid w:val="00881B76"/>
    <w:rsid w:val="00882830"/>
    <w:rsid w:val="008856A5"/>
    <w:rsid w:val="0089695F"/>
    <w:rsid w:val="008A64D6"/>
    <w:rsid w:val="008B0A81"/>
    <w:rsid w:val="008B4A14"/>
    <w:rsid w:val="008B4D9C"/>
    <w:rsid w:val="008B7E65"/>
    <w:rsid w:val="008C1095"/>
    <w:rsid w:val="008C49BD"/>
    <w:rsid w:val="008C538B"/>
    <w:rsid w:val="008C7A15"/>
    <w:rsid w:val="008D2AB3"/>
    <w:rsid w:val="008E5DAE"/>
    <w:rsid w:val="008F0389"/>
    <w:rsid w:val="008F0B8A"/>
    <w:rsid w:val="008F1958"/>
    <w:rsid w:val="008F4226"/>
    <w:rsid w:val="008F4E6C"/>
    <w:rsid w:val="00900FBD"/>
    <w:rsid w:val="00911D3E"/>
    <w:rsid w:val="00915E3A"/>
    <w:rsid w:val="00916D83"/>
    <w:rsid w:val="00932B85"/>
    <w:rsid w:val="009423A1"/>
    <w:rsid w:val="00951197"/>
    <w:rsid w:val="00951598"/>
    <w:rsid w:val="00952CC6"/>
    <w:rsid w:val="00952D27"/>
    <w:rsid w:val="00953C3C"/>
    <w:rsid w:val="009605DD"/>
    <w:rsid w:val="00963EDA"/>
    <w:rsid w:val="009649DF"/>
    <w:rsid w:val="00964DE9"/>
    <w:rsid w:val="0097040E"/>
    <w:rsid w:val="00971004"/>
    <w:rsid w:val="009722A2"/>
    <w:rsid w:val="00973D97"/>
    <w:rsid w:val="009766DA"/>
    <w:rsid w:val="00982ED0"/>
    <w:rsid w:val="00984F1E"/>
    <w:rsid w:val="00987E62"/>
    <w:rsid w:val="00987FC2"/>
    <w:rsid w:val="00994AFF"/>
    <w:rsid w:val="009953E7"/>
    <w:rsid w:val="00997167"/>
    <w:rsid w:val="009A0549"/>
    <w:rsid w:val="009A1C36"/>
    <w:rsid w:val="009A41B5"/>
    <w:rsid w:val="009A5B12"/>
    <w:rsid w:val="009A7699"/>
    <w:rsid w:val="009B11DC"/>
    <w:rsid w:val="009B1390"/>
    <w:rsid w:val="009C15A3"/>
    <w:rsid w:val="009D0E2C"/>
    <w:rsid w:val="009E3749"/>
    <w:rsid w:val="009E5290"/>
    <w:rsid w:val="009E6BE6"/>
    <w:rsid w:val="009E6C0C"/>
    <w:rsid w:val="009F00F4"/>
    <w:rsid w:val="009F06B2"/>
    <w:rsid w:val="009F2745"/>
    <w:rsid w:val="009F275F"/>
    <w:rsid w:val="009F3F6D"/>
    <w:rsid w:val="009F6448"/>
    <w:rsid w:val="00A04656"/>
    <w:rsid w:val="00A0799C"/>
    <w:rsid w:val="00A116AE"/>
    <w:rsid w:val="00A122A4"/>
    <w:rsid w:val="00A12B9C"/>
    <w:rsid w:val="00A16567"/>
    <w:rsid w:val="00A17E15"/>
    <w:rsid w:val="00A205C8"/>
    <w:rsid w:val="00A223A5"/>
    <w:rsid w:val="00A34F3B"/>
    <w:rsid w:val="00A35D22"/>
    <w:rsid w:val="00A37F10"/>
    <w:rsid w:val="00A41234"/>
    <w:rsid w:val="00A432B5"/>
    <w:rsid w:val="00A43737"/>
    <w:rsid w:val="00A44678"/>
    <w:rsid w:val="00A45BFF"/>
    <w:rsid w:val="00A47265"/>
    <w:rsid w:val="00A55EF7"/>
    <w:rsid w:val="00A569B1"/>
    <w:rsid w:val="00A60FC0"/>
    <w:rsid w:val="00A652AC"/>
    <w:rsid w:val="00A6573F"/>
    <w:rsid w:val="00A81560"/>
    <w:rsid w:val="00A83369"/>
    <w:rsid w:val="00A9509F"/>
    <w:rsid w:val="00A96BE5"/>
    <w:rsid w:val="00AA11DB"/>
    <w:rsid w:val="00AA246C"/>
    <w:rsid w:val="00AA3E9B"/>
    <w:rsid w:val="00AA4235"/>
    <w:rsid w:val="00AA6FAA"/>
    <w:rsid w:val="00AA7440"/>
    <w:rsid w:val="00AB2E77"/>
    <w:rsid w:val="00AB3AE9"/>
    <w:rsid w:val="00AB61DD"/>
    <w:rsid w:val="00AC43AA"/>
    <w:rsid w:val="00AC65EB"/>
    <w:rsid w:val="00AD2745"/>
    <w:rsid w:val="00AD68FB"/>
    <w:rsid w:val="00AE1616"/>
    <w:rsid w:val="00AE3928"/>
    <w:rsid w:val="00AE4135"/>
    <w:rsid w:val="00AE64A4"/>
    <w:rsid w:val="00AF37D7"/>
    <w:rsid w:val="00AF5A7D"/>
    <w:rsid w:val="00B07890"/>
    <w:rsid w:val="00B119E0"/>
    <w:rsid w:val="00B13EEE"/>
    <w:rsid w:val="00B1596B"/>
    <w:rsid w:val="00B31BA0"/>
    <w:rsid w:val="00B32C6F"/>
    <w:rsid w:val="00B3531C"/>
    <w:rsid w:val="00B36D93"/>
    <w:rsid w:val="00B42503"/>
    <w:rsid w:val="00B443FF"/>
    <w:rsid w:val="00B514F4"/>
    <w:rsid w:val="00B53B7C"/>
    <w:rsid w:val="00B60D1B"/>
    <w:rsid w:val="00B64801"/>
    <w:rsid w:val="00B66DAB"/>
    <w:rsid w:val="00B676BB"/>
    <w:rsid w:val="00B71B9C"/>
    <w:rsid w:val="00B76A9A"/>
    <w:rsid w:val="00B81049"/>
    <w:rsid w:val="00B87EDB"/>
    <w:rsid w:val="00B91E90"/>
    <w:rsid w:val="00B9675D"/>
    <w:rsid w:val="00BA2861"/>
    <w:rsid w:val="00BB31B5"/>
    <w:rsid w:val="00BB3781"/>
    <w:rsid w:val="00BB4528"/>
    <w:rsid w:val="00BB74A3"/>
    <w:rsid w:val="00BB784E"/>
    <w:rsid w:val="00BC5ABF"/>
    <w:rsid w:val="00BC6C58"/>
    <w:rsid w:val="00BC7452"/>
    <w:rsid w:val="00BC78D6"/>
    <w:rsid w:val="00BD296D"/>
    <w:rsid w:val="00BD4AB8"/>
    <w:rsid w:val="00BE0745"/>
    <w:rsid w:val="00BE2661"/>
    <w:rsid w:val="00BF57AB"/>
    <w:rsid w:val="00BF6846"/>
    <w:rsid w:val="00BF727D"/>
    <w:rsid w:val="00C045A8"/>
    <w:rsid w:val="00C12FDC"/>
    <w:rsid w:val="00C21554"/>
    <w:rsid w:val="00C23B72"/>
    <w:rsid w:val="00C31EDD"/>
    <w:rsid w:val="00C350C8"/>
    <w:rsid w:val="00C564F5"/>
    <w:rsid w:val="00C60E3C"/>
    <w:rsid w:val="00C626B5"/>
    <w:rsid w:val="00C62AF7"/>
    <w:rsid w:val="00C65390"/>
    <w:rsid w:val="00C708E6"/>
    <w:rsid w:val="00C72D5E"/>
    <w:rsid w:val="00C80D76"/>
    <w:rsid w:val="00C80E9A"/>
    <w:rsid w:val="00C83C99"/>
    <w:rsid w:val="00C94B03"/>
    <w:rsid w:val="00C96D29"/>
    <w:rsid w:val="00C97314"/>
    <w:rsid w:val="00CA09A9"/>
    <w:rsid w:val="00CA696E"/>
    <w:rsid w:val="00CA7715"/>
    <w:rsid w:val="00CB16A5"/>
    <w:rsid w:val="00CB3E93"/>
    <w:rsid w:val="00CB59D3"/>
    <w:rsid w:val="00CB7DCC"/>
    <w:rsid w:val="00CC1D83"/>
    <w:rsid w:val="00CC5D3D"/>
    <w:rsid w:val="00CC6A48"/>
    <w:rsid w:val="00CD0FD6"/>
    <w:rsid w:val="00CD34C3"/>
    <w:rsid w:val="00CE08AD"/>
    <w:rsid w:val="00CE1D80"/>
    <w:rsid w:val="00CE351B"/>
    <w:rsid w:val="00CE4DBF"/>
    <w:rsid w:val="00CF066A"/>
    <w:rsid w:val="00CF0EBE"/>
    <w:rsid w:val="00CF4111"/>
    <w:rsid w:val="00CF4995"/>
    <w:rsid w:val="00CF6A0B"/>
    <w:rsid w:val="00D016C0"/>
    <w:rsid w:val="00D057FD"/>
    <w:rsid w:val="00D05A63"/>
    <w:rsid w:val="00D15172"/>
    <w:rsid w:val="00D22BAC"/>
    <w:rsid w:val="00D2373F"/>
    <w:rsid w:val="00D356F9"/>
    <w:rsid w:val="00D43AA0"/>
    <w:rsid w:val="00D45228"/>
    <w:rsid w:val="00D46CFC"/>
    <w:rsid w:val="00D47278"/>
    <w:rsid w:val="00D50B29"/>
    <w:rsid w:val="00D57CE1"/>
    <w:rsid w:val="00D658A9"/>
    <w:rsid w:val="00D674C0"/>
    <w:rsid w:val="00D678AC"/>
    <w:rsid w:val="00D833A9"/>
    <w:rsid w:val="00DA3080"/>
    <w:rsid w:val="00DA40DF"/>
    <w:rsid w:val="00DA60F3"/>
    <w:rsid w:val="00DA7E90"/>
    <w:rsid w:val="00DB0BE2"/>
    <w:rsid w:val="00DB3F95"/>
    <w:rsid w:val="00DC04DD"/>
    <w:rsid w:val="00DD4A99"/>
    <w:rsid w:val="00DD5129"/>
    <w:rsid w:val="00DD55D3"/>
    <w:rsid w:val="00DD5F9A"/>
    <w:rsid w:val="00DD6EEA"/>
    <w:rsid w:val="00DE25DD"/>
    <w:rsid w:val="00DE4618"/>
    <w:rsid w:val="00DF2A30"/>
    <w:rsid w:val="00DF2CBA"/>
    <w:rsid w:val="00DF3DC8"/>
    <w:rsid w:val="00DF5C64"/>
    <w:rsid w:val="00E0323D"/>
    <w:rsid w:val="00E05691"/>
    <w:rsid w:val="00E07B2F"/>
    <w:rsid w:val="00E120ED"/>
    <w:rsid w:val="00E134CE"/>
    <w:rsid w:val="00E21F46"/>
    <w:rsid w:val="00E220B7"/>
    <w:rsid w:val="00E23A71"/>
    <w:rsid w:val="00E36F7D"/>
    <w:rsid w:val="00E40A2C"/>
    <w:rsid w:val="00E43EB4"/>
    <w:rsid w:val="00E50EC5"/>
    <w:rsid w:val="00E52845"/>
    <w:rsid w:val="00E5374C"/>
    <w:rsid w:val="00E5586D"/>
    <w:rsid w:val="00E560C0"/>
    <w:rsid w:val="00E577F1"/>
    <w:rsid w:val="00E62471"/>
    <w:rsid w:val="00E67175"/>
    <w:rsid w:val="00E70FA2"/>
    <w:rsid w:val="00E71961"/>
    <w:rsid w:val="00E730A3"/>
    <w:rsid w:val="00E76B70"/>
    <w:rsid w:val="00E77006"/>
    <w:rsid w:val="00E81DEE"/>
    <w:rsid w:val="00E8391D"/>
    <w:rsid w:val="00E84B81"/>
    <w:rsid w:val="00E85A86"/>
    <w:rsid w:val="00E9038F"/>
    <w:rsid w:val="00E919F5"/>
    <w:rsid w:val="00E91AD3"/>
    <w:rsid w:val="00E95ED2"/>
    <w:rsid w:val="00E97D87"/>
    <w:rsid w:val="00EA7467"/>
    <w:rsid w:val="00EB5C8A"/>
    <w:rsid w:val="00EC201D"/>
    <w:rsid w:val="00ED02AA"/>
    <w:rsid w:val="00ED4D4B"/>
    <w:rsid w:val="00ED7258"/>
    <w:rsid w:val="00ED7EDD"/>
    <w:rsid w:val="00EE10B2"/>
    <w:rsid w:val="00EE1601"/>
    <w:rsid w:val="00EE3D87"/>
    <w:rsid w:val="00EE5607"/>
    <w:rsid w:val="00EE6343"/>
    <w:rsid w:val="00EF0544"/>
    <w:rsid w:val="00EF3239"/>
    <w:rsid w:val="00EF327D"/>
    <w:rsid w:val="00EF403E"/>
    <w:rsid w:val="00EF5DC3"/>
    <w:rsid w:val="00F0118C"/>
    <w:rsid w:val="00F016E9"/>
    <w:rsid w:val="00F02170"/>
    <w:rsid w:val="00F03170"/>
    <w:rsid w:val="00F05625"/>
    <w:rsid w:val="00F05887"/>
    <w:rsid w:val="00F060C4"/>
    <w:rsid w:val="00F12A8F"/>
    <w:rsid w:val="00F12EC7"/>
    <w:rsid w:val="00F17FDC"/>
    <w:rsid w:val="00F2284B"/>
    <w:rsid w:val="00F3262F"/>
    <w:rsid w:val="00F36195"/>
    <w:rsid w:val="00F43C34"/>
    <w:rsid w:val="00F44DE4"/>
    <w:rsid w:val="00F5644A"/>
    <w:rsid w:val="00F70D38"/>
    <w:rsid w:val="00F72968"/>
    <w:rsid w:val="00F7479B"/>
    <w:rsid w:val="00F83526"/>
    <w:rsid w:val="00F84C32"/>
    <w:rsid w:val="00F90177"/>
    <w:rsid w:val="00F9522A"/>
    <w:rsid w:val="00FA3342"/>
    <w:rsid w:val="00FA782D"/>
    <w:rsid w:val="00FB078F"/>
    <w:rsid w:val="00FB42D7"/>
    <w:rsid w:val="00FC1593"/>
    <w:rsid w:val="00FD292C"/>
    <w:rsid w:val="00FD315A"/>
    <w:rsid w:val="00FD39D6"/>
    <w:rsid w:val="00FE1155"/>
    <w:rsid w:val="00FE2A19"/>
    <w:rsid w:val="00FE2F22"/>
    <w:rsid w:val="00FE56D4"/>
    <w:rsid w:val="00FE72FE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646D4B"/>
  <w15:docId w15:val="{DB1D5169-E1C8-465E-9619-E761C308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F4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376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character" w:customStyle="1" w:styleId="arhhighlight">
    <w:name w:val="arh_highlight"/>
    <w:basedOn w:val="DefaultParagraphFont"/>
    <w:rsid w:val="0071485D"/>
  </w:style>
  <w:style w:type="character" w:customStyle="1" w:styleId="apple-converted-space">
    <w:name w:val="apple-converted-space"/>
    <w:basedOn w:val="DefaultParagraphFont"/>
    <w:rsid w:val="0071485D"/>
  </w:style>
  <w:style w:type="paragraph" w:styleId="NormalWeb">
    <w:name w:val="Normal (Web)"/>
    <w:basedOn w:val="Normal"/>
    <w:uiPriority w:val="99"/>
    <w:semiHidden/>
    <w:unhideWhenUsed/>
    <w:rsid w:val="00E84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6F7771"/>
    <w:pPr>
      <w:ind w:left="720"/>
      <w:contextualSpacing/>
    </w:pPr>
  </w:style>
  <w:style w:type="table" w:styleId="TableGrid">
    <w:name w:val="Table Grid"/>
    <w:basedOn w:val="TableNormal"/>
    <w:uiPriority w:val="39"/>
    <w:rsid w:val="00165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32B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2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yperlink" Target="mailto:gints@olsen.lv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 b="0" i="0" baseline="0">
                <a:effectLst/>
              </a:rPr>
              <a:t>Число вызванных грузовыми автомобилями ДТП и средняя компенсация</a:t>
            </a:r>
            <a:endParaRPr lang="en-US" sz="10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Sheet1!$A$46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Sheet1!$B$45:$D$45</c:f>
              <c:numCache>
                <c:formatCode>General</c:formatCode>
                <c:ptCount val="3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</c:numCache>
            </c:numRef>
          </c:cat>
          <c:val>
            <c:numRef>
              <c:f>Sheet1!$B$46:$D$46</c:f>
              <c:numCache>
                <c:formatCode>General</c:formatCode>
                <c:ptCount val="3"/>
                <c:pt idx="0">
                  <c:v>6090</c:v>
                </c:pt>
                <c:pt idx="1">
                  <c:v>6275</c:v>
                </c:pt>
                <c:pt idx="2">
                  <c:v>6835</c:v>
                </c:pt>
              </c:numCache>
            </c:numRef>
          </c:val>
        </c:ser>
        <c:ser>
          <c:idx val="1"/>
          <c:order val="1"/>
          <c:tx>
            <c:strRef>
              <c:f>Sheet1!$A$47</c:f>
              <c:strCache>
                <c:ptCount val="1"/>
                <c:pt idx="0">
                  <c:v>Средняя копенсация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Sheet1!$B$45:$D$45</c:f>
              <c:numCache>
                <c:formatCode>General</c:formatCode>
                <c:ptCount val="3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</c:numCache>
            </c:numRef>
          </c:cat>
          <c:val>
            <c:numRef>
              <c:f>Sheet1!$B$47:$D$47</c:f>
              <c:numCache>
                <c:formatCode>General</c:formatCode>
                <c:ptCount val="3"/>
                <c:pt idx="0">
                  <c:v>1722</c:v>
                </c:pt>
                <c:pt idx="1">
                  <c:v>1716</c:v>
                </c:pt>
                <c:pt idx="2">
                  <c:v>1508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24359200"/>
        <c:axId val="2124360288"/>
      </c:barChart>
      <c:catAx>
        <c:axId val="2124359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24360288"/>
        <c:crosses val="autoZero"/>
        <c:auto val="1"/>
        <c:lblAlgn val="ctr"/>
        <c:lblOffset val="100"/>
        <c:noMultiLvlLbl val="0"/>
      </c:catAx>
      <c:valAx>
        <c:axId val="2124360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24359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 b="0" i="0" baseline="0">
                <a:effectLst/>
              </a:rPr>
              <a:t>Число вызванных моторанспортом ДТП и средняя компенсация</a:t>
            </a:r>
            <a:endParaRPr lang="en-US" sz="10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Sheet1!$A$37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Sheet1!$B$36:$D$36</c:f>
              <c:numCache>
                <c:formatCode>General</c:formatCode>
                <c:ptCount val="3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</c:numCache>
            </c:numRef>
          </c:cat>
          <c:val>
            <c:numRef>
              <c:f>Sheet1!$B$37:$D$37</c:f>
              <c:numCache>
                <c:formatCode>General</c:formatCode>
                <c:ptCount val="3"/>
                <c:pt idx="0">
                  <c:v>221</c:v>
                </c:pt>
                <c:pt idx="1">
                  <c:v>257</c:v>
                </c:pt>
                <c:pt idx="2">
                  <c:v>234</c:v>
                </c:pt>
              </c:numCache>
            </c:numRef>
          </c:val>
        </c:ser>
        <c:ser>
          <c:idx val="1"/>
          <c:order val="1"/>
          <c:tx>
            <c:strRef>
              <c:f>Sheet1!$A$38</c:f>
              <c:strCache>
                <c:ptCount val="1"/>
                <c:pt idx="0">
                  <c:v>Средняя копенсация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Sheet1!$B$36:$D$36</c:f>
              <c:numCache>
                <c:formatCode>General</c:formatCode>
                <c:ptCount val="3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</c:numCache>
            </c:numRef>
          </c:cat>
          <c:val>
            <c:numRef>
              <c:f>Sheet1!$B$38:$D$38</c:f>
              <c:numCache>
                <c:formatCode>General</c:formatCode>
                <c:ptCount val="3"/>
                <c:pt idx="0">
                  <c:v>965</c:v>
                </c:pt>
                <c:pt idx="1">
                  <c:v>1013</c:v>
                </c:pt>
                <c:pt idx="2">
                  <c:v>1315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24360832"/>
        <c:axId val="2124350496"/>
      </c:barChart>
      <c:catAx>
        <c:axId val="2124360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24350496"/>
        <c:crosses val="autoZero"/>
        <c:auto val="1"/>
        <c:lblAlgn val="ctr"/>
        <c:lblOffset val="100"/>
        <c:noMultiLvlLbl val="0"/>
      </c:catAx>
      <c:valAx>
        <c:axId val="21243504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24360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 b="0" i="0" baseline="0">
                <a:effectLst/>
              </a:rPr>
              <a:t>Число вызванных тракторной техникой ДТП и средняя компенсация</a:t>
            </a:r>
            <a:endParaRPr lang="en-US" sz="10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Sheet1!$A$29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Sheet1!$B$28:$D$28</c:f>
              <c:numCache>
                <c:formatCode>General</c:formatCode>
                <c:ptCount val="3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</c:numCache>
            </c:numRef>
          </c:cat>
          <c:val>
            <c:numRef>
              <c:f>Sheet1!$B$29:$D$29</c:f>
              <c:numCache>
                <c:formatCode>General</c:formatCode>
                <c:ptCount val="3"/>
                <c:pt idx="0">
                  <c:v>165</c:v>
                </c:pt>
                <c:pt idx="1">
                  <c:v>197</c:v>
                </c:pt>
                <c:pt idx="2">
                  <c:v>208</c:v>
                </c:pt>
              </c:numCache>
            </c:numRef>
          </c:val>
        </c:ser>
        <c:ser>
          <c:idx val="1"/>
          <c:order val="1"/>
          <c:tx>
            <c:strRef>
              <c:f>Sheet1!$A$30</c:f>
              <c:strCache>
                <c:ptCount val="1"/>
                <c:pt idx="0">
                  <c:v>Средняя копенсация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Sheet1!$B$28:$D$28</c:f>
              <c:numCache>
                <c:formatCode>General</c:formatCode>
                <c:ptCount val="3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</c:numCache>
            </c:numRef>
          </c:cat>
          <c:val>
            <c:numRef>
              <c:f>Sheet1!$B$30:$D$30</c:f>
              <c:numCache>
                <c:formatCode>General</c:formatCode>
                <c:ptCount val="3"/>
                <c:pt idx="0">
                  <c:v>1534</c:v>
                </c:pt>
                <c:pt idx="1">
                  <c:v>1452</c:v>
                </c:pt>
                <c:pt idx="2">
                  <c:v>1094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24359744"/>
        <c:axId val="2124353216"/>
      </c:barChart>
      <c:catAx>
        <c:axId val="2124359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24353216"/>
        <c:crosses val="autoZero"/>
        <c:auto val="1"/>
        <c:lblAlgn val="ctr"/>
        <c:lblOffset val="100"/>
        <c:noMultiLvlLbl val="0"/>
      </c:catAx>
      <c:valAx>
        <c:axId val="21243532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24359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 b="0" i="0" baseline="0">
                <a:effectLst/>
              </a:rPr>
              <a:t>Число вызванных легковыми автомобилями ДТП и средняя компенсация</a:t>
            </a:r>
            <a:endParaRPr lang="en-US" sz="1000">
              <a:effectLst/>
            </a:endParaRPr>
          </a:p>
        </c:rich>
      </c:tx>
      <c:layout>
        <c:manualLayout>
          <c:xMode val="edge"/>
          <c:yMode val="edge"/>
          <c:x val="0.21120230163537251"/>
          <c:y val="3.340354607572787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Sheet1!$A$17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Sheet1!$B$16:$D$16</c:f>
              <c:numCache>
                <c:formatCode>General</c:formatCode>
                <c:ptCount val="3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</c:numCache>
            </c:numRef>
          </c:cat>
          <c:val>
            <c:numRef>
              <c:f>Sheet1!$B$17:$D$17</c:f>
              <c:numCache>
                <c:formatCode>General</c:formatCode>
                <c:ptCount val="3"/>
                <c:pt idx="0">
                  <c:v>25566</c:v>
                </c:pt>
                <c:pt idx="1">
                  <c:v>27767</c:v>
                </c:pt>
                <c:pt idx="2">
                  <c:v>29721</c:v>
                </c:pt>
              </c:numCache>
            </c:numRef>
          </c:val>
        </c:ser>
        <c:ser>
          <c:idx val="1"/>
          <c:order val="1"/>
          <c:tx>
            <c:strRef>
              <c:f>Sheet1!$A$18</c:f>
              <c:strCache>
                <c:ptCount val="1"/>
                <c:pt idx="0">
                  <c:v>Средняя копенсация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Sheet1!$B$16:$D$16</c:f>
              <c:numCache>
                <c:formatCode>General</c:formatCode>
                <c:ptCount val="3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</c:numCache>
            </c:numRef>
          </c:cat>
          <c:val>
            <c:numRef>
              <c:f>Sheet1!$B$18:$D$18</c:f>
              <c:numCache>
                <c:formatCode>General</c:formatCode>
                <c:ptCount val="3"/>
                <c:pt idx="0">
                  <c:v>1181</c:v>
                </c:pt>
                <c:pt idx="1">
                  <c:v>1212</c:v>
                </c:pt>
                <c:pt idx="2">
                  <c:v>1099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24348864"/>
        <c:axId val="2124361376"/>
      </c:barChart>
      <c:catAx>
        <c:axId val="2124348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24361376"/>
        <c:crosses val="autoZero"/>
        <c:auto val="1"/>
        <c:lblAlgn val="ctr"/>
        <c:lblOffset val="100"/>
        <c:noMultiLvlLbl val="0"/>
      </c:catAx>
      <c:valAx>
        <c:axId val="21243613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24348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 b="0" i="0" baseline="0">
                <a:effectLst/>
              </a:rPr>
              <a:t>Число вызванных автобусами ДТП и средняя компенсация</a:t>
            </a:r>
            <a:endParaRPr lang="en-US" sz="10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Sheet1!$B$1:$D$1</c:f>
              <c:numCache>
                <c:formatCode>General</c:formatCode>
                <c:ptCount val="3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</c:numCache>
            </c:numRef>
          </c:cat>
          <c:val>
            <c:numRef>
              <c:f>Sheet1!$B$2:$D$2</c:f>
              <c:numCache>
                <c:formatCode>General</c:formatCode>
                <c:ptCount val="3"/>
                <c:pt idx="0">
                  <c:v>490</c:v>
                </c:pt>
                <c:pt idx="1">
                  <c:v>453</c:v>
                </c:pt>
                <c:pt idx="2">
                  <c:v>477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Средняя копенсация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cat>
            <c:numRef>
              <c:f>Sheet1!$B$1:$D$1</c:f>
              <c:numCache>
                <c:formatCode>General</c:formatCode>
                <c:ptCount val="3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</c:numCache>
            </c:numRef>
          </c:cat>
          <c:val>
            <c:numRef>
              <c:f>Sheet1!$B$3:$D$3</c:f>
              <c:numCache>
                <c:formatCode>General</c:formatCode>
                <c:ptCount val="3"/>
                <c:pt idx="0">
                  <c:v>1057</c:v>
                </c:pt>
                <c:pt idx="1">
                  <c:v>1040</c:v>
                </c:pt>
                <c:pt idx="2">
                  <c:v>1118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24346688"/>
        <c:axId val="2124351040"/>
      </c:barChart>
      <c:catAx>
        <c:axId val="2124346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24351040"/>
        <c:crosses val="autoZero"/>
        <c:auto val="1"/>
        <c:lblAlgn val="ctr"/>
        <c:lblOffset val="100"/>
        <c:noMultiLvlLbl val="0"/>
      </c:catAx>
      <c:valAx>
        <c:axId val="21243510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243466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 b="0" i="0" baseline="0">
                <a:effectLst/>
              </a:rPr>
              <a:t>Число вызванных троллейбусами и трамваями ДТП и средняя компенсация</a:t>
            </a:r>
            <a:endParaRPr lang="en-US" sz="1000">
              <a:effectLst/>
            </a:endParaRPr>
          </a:p>
        </c:rich>
      </c:tx>
      <c:layout>
        <c:manualLayout>
          <c:xMode val="edge"/>
          <c:yMode val="edge"/>
          <c:x val="0.11918608836102845"/>
          <c:y val="3.375527426160337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Sheet1!$A$10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Sheet1!$B$9:$D$9</c:f>
              <c:numCache>
                <c:formatCode>General</c:formatCode>
                <c:ptCount val="3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</c:numCache>
            </c:numRef>
          </c:cat>
          <c:val>
            <c:numRef>
              <c:f>Sheet1!$B$10:$D$10</c:f>
              <c:numCache>
                <c:formatCode>General</c:formatCode>
                <c:ptCount val="3"/>
                <c:pt idx="0">
                  <c:v>82</c:v>
                </c:pt>
                <c:pt idx="1">
                  <c:v>77</c:v>
                </c:pt>
                <c:pt idx="2">
                  <c:v>76</c:v>
                </c:pt>
              </c:numCache>
            </c:numRef>
          </c:val>
        </c:ser>
        <c:ser>
          <c:idx val="1"/>
          <c:order val="1"/>
          <c:tx>
            <c:strRef>
              <c:f>Sheet1!$A$11</c:f>
              <c:strCache>
                <c:ptCount val="1"/>
                <c:pt idx="0">
                  <c:v>Средняя копенсация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Sheet1!$B$9:$D$9</c:f>
              <c:numCache>
                <c:formatCode>General</c:formatCode>
                <c:ptCount val="3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</c:numCache>
            </c:numRef>
          </c:cat>
          <c:val>
            <c:numRef>
              <c:f>Sheet1!$B$11:$D$11</c:f>
              <c:numCache>
                <c:formatCode>General</c:formatCode>
                <c:ptCount val="3"/>
                <c:pt idx="0">
                  <c:v>1321</c:v>
                </c:pt>
                <c:pt idx="1">
                  <c:v>609</c:v>
                </c:pt>
                <c:pt idx="2">
                  <c:v>1272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24351584"/>
        <c:axId val="2124355936"/>
      </c:barChart>
      <c:catAx>
        <c:axId val="2124351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24355936"/>
        <c:crosses val="autoZero"/>
        <c:auto val="1"/>
        <c:lblAlgn val="ctr"/>
        <c:lblOffset val="100"/>
        <c:noMultiLvlLbl val="0"/>
      </c:catAx>
      <c:valAx>
        <c:axId val="21243559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24351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46B7E-4ED5-449C-81A5-CCB5FE046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673</Words>
  <Characters>3838</Characters>
  <Application>Microsoft Office Word</Application>
  <DocSecurity>0</DocSecurity>
  <Lines>31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LAA</Company>
  <LinksUpToDate>false</LinksUpToDate>
  <CharactersWithSpaces>4502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Agris Daukste</dc:creator>
  <cp:lastModifiedBy>Marija Vorkule</cp:lastModifiedBy>
  <cp:revision>11</cp:revision>
  <dcterms:created xsi:type="dcterms:W3CDTF">2017-04-19T13:11:00Z</dcterms:created>
  <dcterms:modified xsi:type="dcterms:W3CDTF">2017-04-20T09:26:00Z</dcterms:modified>
</cp:coreProperties>
</file>