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19836965" w:rsidR="00B44512" w:rsidRDefault="00B63D25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20</w:t>
      </w:r>
      <w:r w:rsidR="00471FB7">
        <w:rPr>
          <w:b/>
          <w:lang w:val="lv-LV"/>
        </w:rPr>
        <w:t>.07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67D0A4E6" w:rsidR="00DA7FCA" w:rsidRPr="00F12715" w:rsidRDefault="00E90ACA" w:rsidP="00717F4C">
      <w:pPr>
        <w:jc w:val="both"/>
        <w:rPr>
          <w:b/>
          <w:sz w:val="25"/>
          <w:szCs w:val="25"/>
          <w:lang w:val="lv-LV"/>
        </w:rPr>
      </w:pPr>
      <w:r>
        <w:rPr>
          <w:b/>
          <w:sz w:val="25"/>
          <w:szCs w:val="25"/>
          <w:lang w:val="lv-LV"/>
        </w:rPr>
        <w:t>Pieaug traktortehnikas izraisīto negadījumu skaits un izmaksāto atlīdzību apmēri</w:t>
      </w:r>
    </w:p>
    <w:p w14:paraId="3A6D6473" w14:textId="616F0535" w:rsidR="00DA7FCA" w:rsidRDefault="00283E3C" w:rsidP="00256127">
      <w:pPr>
        <w:spacing w:after="0" w:line="240" w:lineRule="auto"/>
        <w:jc w:val="both"/>
        <w:rPr>
          <w:b/>
          <w:lang w:val="lv-LV"/>
        </w:rPr>
      </w:pPr>
      <w:bookmarkStart w:id="0" w:name="_GoBack"/>
      <w:r w:rsidRPr="00283E3C">
        <w:rPr>
          <w:b/>
          <w:lang w:val="lv-LV"/>
        </w:rPr>
        <w:t>Latvijas Transp</w:t>
      </w:r>
      <w:r w:rsidR="00E90ACA">
        <w:rPr>
          <w:b/>
          <w:lang w:val="lv-LV"/>
        </w:rPr>
        <w:t>ortlīdzekļu apdrošinātāju biroja</w:t>
      </w:r>
      <w:r w:rsidRPr="00283E3C">
        <w:rPr>
          <w:b/>
          <w:lang w:val="lv-LV"/>
        </w:rPr>
        <w:t xml:space="preserve"> (turpmāk - LTAB) </w:t>
      </w:r>
      <w:r w:rsidR="00E90ACA">
        <w:rPr>
          <w:b/>
          <w:lang w:val="lv-LV"/>
        </w:rPr>
        <w:t xml:space="preserve">statistika liecina, ka pēdējos gados pieaudzis gan specializētās lauksaimniecības tehnikas izraisīto ceļu satiksmes negadījumu (turpmāk – CSNg) skaits, gan izmaksāto apdrošināšanas atlīdzību apmērs. </w:t>
      </w:r>
      <w:proofErr w:type="gramStart"/>
      <w:r w:rsidR="00E90ACA">
        <w:rPr>
          <w:b/>
          <w:lang w:val="lv-LV"/>
        </w:rPr>
        <w:t>2016.gadā</w:t>
      </w:r>
      <w:proofErr w:type="gramEnd"/>
      <w:r w:rsidR="00E90ACA">
        <w:rPr>
          <w:b/>
          <w:lang w:val="lv-LV"/>
        </w:rPr>
        <w:t xml:space="preserve"> traktortehnikas izraisīto CSNg skaits un izmaksātās atlīdzības bija attiecīgi 195 negadījumi un 287 tūkstoši EUR.</w:t>
      </w:r>
    </w:p>
    <w:bookmarkEnd w:id="0"/>
    <w:p w14:paraId="110BF3A0" w14:textId="77777777" w:rsidR="00283E3C" w:rsidRDefault="00283E3C" w:rsidP="00256127">
      <w:pPr>
        <w:spacing w:after="0" w:line="240" w:lineRule="auto"/>
        <w:jc w:val="both"/>
        <w:rPr>
          <w:b/>
          <w:lang w:val="lv-LV"/>
        </w:rPr>
      </w:pPr>
    </w:p>
    <w:p w14:paraId="5F12A156" w14:textId="120C8C8D" w:rsidR="003B7FFE" w:rsidRDefault="00E90ACA" w:rsidP="0002183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Lai arī </w:t>
      </w:r>
      <w:proofErr w:type="gramStart"/>
      <w:r>
        <w:rPr>
          <w:color w:val="000000" w:themeColor="text1"/>
          <w:lang w:val="lv-LV"/>
        </w:rPr>
        <w:t>2014.gadā</w:t>
      </w:r>
      <w:proofErr w:type="gramEnd"/>
      <w:r>
        <w:rPr>
          <w:color w:val="000000" w:themeColor="text1"/>
          <w:lang w:val="lv-LV"/>
        </w:rPr>
        <w:t xml:space="preserve">, salīdzinot ar iepriekšējiem gadiem bija vērojams neliels samazinājums gan traktortehnikas izraisīto CSNg, gan izmaksāto apdrošināšanas atlīdzību apmērā, tomēr pēdējos 2 gadus </w:t>
      </w:r>
      <w:r w:rsidR="003B7FFE">
        <w:rPr>
          <w:color w:val="000000" w:themeColor="text1"/>
          <w:lang w:val="lv-LV"/>
        </w:rPr>
        <w:t>abās pozīcijās vērojams pieaugums</w:t>
      </w:r>
      <w:r w:rsidR="00471FB7" w:rsidRPr="00471FB7">
        <w:rPr>
          <w:color w:val="000000" w:themeColor="text1"/>
          <w:lang w:val="lv-LV"/>
        </w:rPr>
        <w:t>.</w:t>
      </w:r>
      <w:r w:rsidR="003B7FFE">
        <w:rPr>
          <w:color w:val="000000" w:themeColor="text1"/>
          <w:lang w:val="lv-LV"/>
        </w:rPr>
        <w:t xml:space="preserve"> “Uzlabojoties ekonomiskajai situācijai valstī</w:t>
      </w:r>
      <w:r w:rsidR="00467758">
        <w:rPr>
          <w:color w:val="000000" w:themeColor="text1"/>
          <w:lang w:val="lv-LV"/>
        </w:rPr>
        <w:t xml:space="preserve">, t.sk., </w:t>
      </w:r>
      <w:r w:rsidR="003B7FFE">
        <w:rPr>
          <w:color w:val="000000" w:themeColor="text1"/>
          <w:lang w:val="lv-LV"/>
        </w:rPr>
        <w:t xml:space="preserve">lauksaimniecības sektorā, Latvijā </w:t>
      </w:r>
      <w:r w:rsidR="00B63D25" w:rsidRPr="00B63D25">
        <w:rPr>
          <w:rFonts w:cstheme="minorHAnsi"/>
          <w:color w:val="000000"/>
          <w:shd w:val="clear" w:color="auto" w:fill="FFFFFF"/>
          <w:lang w:val="lv-LV"/>
        </w:rPr>
        <w:t>specializētā lauksaimniecības tehnika</w:t>
      </w:r>
      <w:r w:rsidR="00094D3A">
        <w:rPr>
          <w:color w:val="000000" w:themeColor="text1"/>
          <w:lang w:val="lv-LV"/>
        </w:rPr>
        <w:t xml:space="preserve"> </w:t>
      </w:r>
      <w:r w:rsidR="003B7FFE">
        <w:rPr>
          <w:color w:val="000000" w:themeColor="text1"/>
          <w:lang w:val="lv-LV"/>
        </w:rPr>
        <w:t>tiek izmantota aizvien vairāk. Tāpat j</w:t>
      </w:r>
      <w:r w:rsidR="003B7FFE" w:rsidRPr="003B7FFE">
        <w:rPr>
          <w:color w:val="000000" w:themeColor="text1"/>
          <w:lang w:val="lv-LV"/>
        </w:rPr>
        <w:t>āatzīmē, ka apdrošināšanas atlīdzības, kas tiek izmaksātas par specializētās lauksaimniecības tehnikas CSNg rezultātā nodarītajiem zaudējumiem, ir sal</w:t>
      </w:r>
      <w:r w:rsidR="00B63D25">
        <w:rPr>
          <w:color w:val="000000" w:themeColor="text1"/>
          <w:lang w:val="lv-LV"/>
        </w:rPr>
        <w:t xml:space="preserve">īdzinoši </w:t>
      </w:r>
      <w:proofErr w:type="gramStart"/>
      <w:r w:rsidR="00B63D25">
        <w:rPr>
          <w:color w:val="000000" w:themeColor="text1"/>
          <w:lang w:val="lv-LV"/>
        </w:rPr>
        <w:t>lielākas kā</w:t>
      </w:r>
      <w:proofErr w:type="gramEnd"/>
      <w:r w:rsidR="00B63D25">
        <w:rPr>
          <w:color w:val="000000" w:themeColor="text1"/>
          <w:lang w:val="lv-LV"/>
        </w:rPr>
        <w:t xml:space="preserve"> citu transportlīdzekļu izraisītās</w:t>
      </w:r>
      <w:r w:rsidR="003B7FFE">
        <w:rPr>
          <w:color w:val="000000" w:themeColor="text1"/>
          <w:lang w:val="lv-LV"/>
        </w:rPr>
        <w:t>,”</w:t>
      </w:r>
      <w:r w:rsidR="003B7FFE" w:rsidRPr="003B7FFE">
        <w:rPr>
          <w:color w:val="000000" w:themeColor="text1"/>
          <w:lang w:val="lv-LV"/>
        </w:rPr>
        <w:t xml:space="preserve"> </w:t>
      </w:r>
      <w:r w:rsidR="003B7FFE">
        <w:rPr>
          <w:color w:val="000000" w:themeColor="text1"/>
          <w:lang w:val="lv-LV"/>
        </w:rPr>
        <w:t>skaidro LTAB valdes priekšsēdētājs Jānis Abāšins.</w:t>
      </w:r>
    </w:p>
    <w:p w14:paraId="7A7F1226" w14:textId="77E83C87" w:rsid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494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40"/>
        <w:gridCol w:w="1802"/>
        <w:gridCol w:w="1660"/>
      </w:tblGrid>
      <w:tr w:rsidR="003B7FFE" w:rsidRPr="003B7FFE" w14:paraId="0E077FF3" w14:textId="77777777" w:rsidTr="00562028">
        <w:trPr>
          <w:trHeight w:val="93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B2751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proofErr w:type="spellStart"/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CSNg</w:t>
            </w:r>
            <w:proofErr w:type="spellEnd"/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gads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03BAD" w14:textId="619CB032" w:rsidR="003B7FFE" w:rsidRPr="003B7FFE" w:rsidRDefault="00562028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Traktortehnikas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izraisīto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B7FFE"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CSNg</w:t>
            </w:r>
            <w:proofErr w:type="spellEnd"/>
            <w:r w:rsidR="003B7FFE"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B7FFE"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skaits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E08E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proofErr w:type="spellStart"/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Izmaksātās</w:t>
            </w:r>
            <w:proofErr w:type="spellEnd"/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atlīdzības</w:t>
            </w:r>
            <w:proofErr w:type="spellEnd"/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(EUR)</w:t>
            </w:r>
          </w:p>
        </w:tc>
      </w:tr>
      <w:tr w:rsidR="003B7FFE" w:rsidRPr="003B7FFE" w14:paraId="26409EE4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4497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6EC9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DCBA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194,826</w:t>
            </w:r>
          </w:p>
        </w:tc>
      </w:tr>
      <w:tr w:rsidR="003B7FFE" w:rsidRPr="003B7FFE" w14:paraId="569F6751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1C6A1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F4D5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3D03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230,092</w:t>
            </w:r>
          </w:p>
        </w:tc>
      </w:tr>
      <w:tr w:rsidR="003B7FFE" w:rsidRPr="003B7FFE" w14:paraId="79324B0C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B765A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3210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61B5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219,484</w:t>
            </w:r>
          </w:p>
        </w:tc>
      </w:tr>
      <w:tr w:rsidR="003B7FFE" w:rsidRPr="003B7FFE" w14:paraId="25161E6C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5F396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8E71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73CC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223,914</w:t>
            </w:r>
          </w:p>
        </w:tc>
      </w:tr>
      <w:tr w:rsidR="003B7FFE" w:rsidRPr="003B7FFE" w14:paraId="5DAD28FA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9C96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9EA1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3ACA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287,783</w:t>
            </w:r>
          </w:p>
        </w:tc>
      </w:tr>
      <w:tr w:rsidR="003B7FFE" w:rsidRPr="003B7FFE" w14:paraId="0C0AE2A6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9F79B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C7A8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4369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73,197</w:t>
            </w:r>
          </w:p>
        </w:tc>
      </w:tr>
    </w:tbl>
    <w:p w14:paraId="236709A5" w14:textId="77777777" w:rsid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4FFCCF5D" w14:textId="77777777" w:rsid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217380F5" w14:textId="5317AEDB" w:rsidR="00021837" w:rsidRP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  <w:r w:rsidRPr="003B7FFE">
        <w:rPr>
          <w:color w:val="000000" w:themeColor="text1"/>
          <w:lang w:val="lv-LV"/>
        </w:rPr>
        <w:t xml:space="preserve">Ja salīdzina kopējo vidējo </w:t>
      </w:r>
      <w:r w:rsidR="00562028">
        <w:rPr>
          <w:color w:val="000000" w:themeColor="text1"/>
          <w:lang w:val="lv-LV"/>
        </w:rPr>
        <w:t xml:space="preserve">apdrošināšanas </w:t>
      </w:r>
      <w:r w:rsidRPr="003B7FFE">
        <w:rPr>
          <w:color w:val="000000" w:themeColor="text1"/>
          <w:lang w:val="lv-LV"/>
        </w:rPr>
        <w:t xml:space="preserve">izmaksu </w:t>
      </w:r>
      <w:proofErr w:type="gramStart"/>
      <w:r w:rsidR="00562028">
        <w:rPr>
          <w:color w:val="000000" w:themeColor="text1"/>
          <w:lang w:val="lv-LV"/>
        </w:rPr>
        <w:t>2016.gadā</w:t>
      </w:r>
      <w:proofErr w:type="gramEnd"/>
      <w:r w:rsidR="00562028">
        <w:rPr>
          <w:color w:val="000000" w:themeColor="text1"/>
          <w:lang w:val="lv-LV"/>
        </w:rPr>
        <w:t xml:space="preserve"> </w:t>
      </w:r>
      <w:r w:rsidRPr="003B7FFE">
        <w:rPr>
          <w:color w:val="000000" w:themeColor="text1"/>
          <w:lang w:val="lv-LV"/>
        </w:rPr>
        <w:t xml:space="preserve">ar traktortehnikas nodarītajiem zaudējumiem, tad atšķirība ir </w:t>
      </w:r>
      <w:r w:rsidR="00562028">
        <w:rPr>
          <w:color w:val="000000" w:themeColor="text1"/>
          <w:lang w:val="lv-LV"/>
        </w:rPr>
        <w:t xml:space="preserve"> </w:t>
      </w:r>
      <w:r w:rsidR="00094D3A">
        <w:rPr>
          <w:color w:val="000000" w:themeColor="text1"/>
          <w:lang w:val="lv-LV"/>
        </w:rPr>
        <w:t>gandrīz 15</w:t>
      </w:r>
      <w:r w:rsidRPr="003B7FFE">
        <w:rPr>
          <w:color w:val="000000" w:themeColor="text1"/>
          <w:lang w:val="lv-LV"/>
        </w:rPr>
        <w:t>%. Vidējā</w:t>
      </w:r>
      <w:r w:rsidR="00562028">
        <w:rPr>
          <w:color w:val="000000" w:themeColor="text1"/>
          <w:lang w:val="lv-LV"/>
        </w:rPr>
        <w:t xml:space="preserve"> OCTA apdrošināšanas </w:t>
      </w:r>
      <w:r w:rsidRPr="003B7FFE">
        <w:rPr>
          <w:color w:val="000000" w:themeColor="text1"/>
          <w:lang w:val="lv-LV"/>
        </w:rPr>
        <w:t>izmaksa</w:t>
      </w:r>
      <w:r w:rsidR="00562028">
        <w:rPr>
          <w:color w:val="000000" w:themeColor="text1"/>
          <w:lang w:val="lv-LV"/>
        </w:rPr>
        <w:t xml:space="preserve"> </w:t>
      </w:r>
      <w:proofErr w:type="gramStart"/>
      <w:r w:rsidR="00562028">
        <w:rPr>
          <w:color w:val="000000" w:themeColor="text1"/>
          <w:lang w:val="lv-LV"/>
        </w:rPr>
        <w:t>2016.gadā</w:t>
      </w:r>
      <w:proofErr w:type="gramEnd"/>
      <w:r w:rsidRPr="003B7FFE">
        <w:rPr>
          <w:color w:val="000000" w:themeColor="text1"/>
          <w:lang w:val="lv-LV"/>
        </w:rPr>
        <w:t xml:space="preserve"> kopumā </w:t>
      </w:r>
      <w:r w:rsidR="00562028">
        <w:rPr>
          <w:color w:val="000000" w:themeColor="text1"/>
          <w:lang w:val="lv-LV"/>
        </w:rPr>
        <w:t>bija</w:t>
      </w:r>
      <w:r w:rsidRPr="003B7FFE">
        <w:rPr>
          <w:color w:val="000000" w:themeColor="text1"/>
          <w:lang w:val="lv-LV"/>
        </w:rPr>
        <w:t xml:space="preserve"> </w:t>
      </w:r>
      <w:r w:rsidR="00094D3A">
        <w:rPr>
          <w:color w:val="000000" w:themeColor="text1"/>
          <w:lang w:val="lv-LV"/>
        </w:rPr>
        <w:t>937</w:t>
      </w:r>
      <w:r w:rsidRPr="003B7FFE">
        <w:rPr>
          <w:color w:val="000000" w:themeColor="text1"/>
          <w:lang w:val="lv-LV"/>
        </w:rPr>
        <w:t xml:space="preserve"> </w:t>
      </w:r>
      <w:r w:rsidR="00562028">
        <w:rPr>
          <w:color w:val="000000" w:themeColor="text1"/>
          <w:lang w:val="lv-LV"/>
        </w:rPr>
        <w:t>EUR</w:t>
      </w:r>
      <w:r w:rsidRPr="003B7FFE">
        <w:rPr>
          <w:color w:val="000000" w:themeColor="text1"/>
          <w:lang w:val="lv-LV"/>
        </w:rPr>
        <w:t>, savukārt par traktortehnikas n</w:t>
      </w:r>
      <w:r w:rsidR="00562028">
        <w:rPr>
          <w:color w:val="000000" w:themeColor="text1"/>
          <w:lang w:val="lv-LV"/>
        </w:rPr>
        <w:t>odarītajiem bojājumiem tā bija</w:t>
      </w:r>
      <w:r w:rsidRPr="003B7FFE">
        <w:rPr>
          <w:color w:val="000000" w:themeColor="text1"/>
          <w:lang w:val="lv-LV"/>
        </w:rPr>
        <w:t xml:space="preserve"> gandrīz </w:t>
      </w:r>
      <w:r w:rsidR="00094D3A" w:rsidRPr="00094D3A">
        <w:rPr>
          <w:color w:val="000000" w:themeColor="text1"/>
          <w:lang w:val="lv-LV"/>
        </w:rPr>
        <w:t>1094</w:t>
      </w:r>
      <w:r w:rsidRPr="003B7FFE">
        <w:rPr>
          <w:color w:val="000000" w:themeColor="text1"/>
          <w:lang w:val="lv-LV"/>
        </w:rPr>
        <w:t xml:space="preserve"> EUR</w:t>
      </w:r>
      <w:r w:rsidR="00562028">
        <w:rPr>
          <w:color w:val="000000" w:themeColor="text1"/>
          <w:lang w:val="lv-LV"/>
        </w:rPr>
        <w:t>.</w:t>
      </w:r>
    </w:p>
    <w:p w14:paraId="5BDE7844" w14:textId="77777777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4889F034" w14:textId="046A7CED" w:rsidR="003B2C3D" w:rsidRDefault="00094D3A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Jāatzīmē, ka traktortehnikas izraisītie negadījumi ir ar salīdzinoši smagākām sekām. Tā, piemēram pērn lielākā atlīdzība, kas izmaksāta par CSNg, ko izraisījusi </w:t>
      </w:r>
      <w:r w:rsidRPr="003B7FFE">
        <w:rPr>
          <w:color w:val="000000" w:themeColor="text1"/>
          <w:lang w:val="lv-LV"/>
        </w:rPr>
        <w:t>special</w:t>
      </w:r>
      <w:r>
        <w:rPr>
          <w:color w:val="000000" w:themeColor="text1"/>
          <w:lang w:val="lv-LV"/>
        </w:rPr>
        <w:t xml:space="preserve">izētās lauksaimniecības tehnika, bija 49,8 tūkstoši EUR, bet vēsturiski lielākā atlīdzība izmaksāta par </w:t>
      </w:r>
      <w:proofErr w:type="gramStart"/>
      <w:r>
        <w:rPr>
          <w:color w:val="000000" w:themeColor="text1"/>
          <w:lang w:val="lv-LV"/>
        </w:rPr>
        <w:t>2009.gadā</w:t>
      </w:r>
      <w:proofErr w:type="gramEnd"/>
      <w:r>
        <w:rPr>
          <w:color w:val="000000" w:themeColor="text1"/>
          <w:lang w:val="lv-LV"/>
        </w:rPr>
        <w:t xml:space="preserve"> traktortehnikas izraisītu CSNg – 101,44 tūkstoši EUR.</w:t>
      </w:r>
    </w:p>
    <w:p w14:paraId="04473C76" w14:textId="3BE71C5C" w:rsidR="00B63D25" w:rsidRDefault="00B63D25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284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60"/>
        <w:gridCol w:w="1480"/>
      </w:tblGrid>
      <w:tr w:rsidR="00B63D25" w:rsidRPr="00B63D25" w14:paraId="78FFA716" w14:textId="77777777" w:rsidTr="00B63D25">
        <w:trPr>
          <w:trHeight w:val="93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C6F2A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proofErr w:type="spellStart"/>
            <w:r w:rsidRPr="00B63D25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CSNg</w:t>
            </w:r>
            <w:proofErr w:type="spellEnd"/>
            <w:r w:rsidRPr="00B63D25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gads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153FC" w14:textId="05C0C0A2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Izmaksātā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atlīdzība</w:t>
            </w:r>
            <w:proofErr w:type="spellEnd"/>
            <w:r w:rsidRPr="00B63D25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(</w:t>
            </w:r>
            <w:r w:rsidRPr="00B63D25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EUR</w:t>
            </w: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>)</w:t>
            </w:r>
          </w:p>
        </w:tc>
      </w:tr>
      <w:tr w:rsidR="00B63D25" w:rsidRPr="00B63D25" w14:paraId="7CA6CA1F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EE35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1A6E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101,441.39</w:t>
            </w:r>
          </w:p>
        </w:tc>
      </w:tr>
      <w:tr w:rsidR="00B63D25" w:rsidRPr="00B63D25" w14:paraId="002CFD54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0824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10BD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49,802.94</w:t>
            </w:r>
          </w:p>
        </w:tc>
      </w:tr>
      <w:tr w:rsidR="00B63D25" w:rsidRPr="00B63D25" w14:paraId="3E19AAB8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2AC0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DA2C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45,904.31</w:t>
            </w:r>
          </w:p>
        </w:tc>
      </w:tr>
      <w:tr w:rsidR="00B63D25" w:rsidRPr="00B63D25" w14:paraId="2F001974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1B6C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027D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21,851.77</w:t>
            </w:r>
          </w:p>
        </w:tc>
      </w:tr>
      <w:tr w:rsidR="00B63D25" w:rsidRPr="00B63D25" w14:paraId="1289126A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38C8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1422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21,468.70</w:t>
            </w:r>
          </w:p>
        </w:tc>
      </w:tr>
    </w:tbl>
    <w:p w14:paraId="2C37D6AE" w14:textId="77777777" w:rsidR="00B63D25" w:rsidRPr="00094D3A" w:rsidRDefault="00B63D25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3EF22F09" w14:textId="12AAE08A" w:rsidR="00C65CB9" w:rsidRPr="00C65CB9" w:rsidRDefault="00C65CB9" w:rsidP="00256127">
      <w:pPr>
        <w:spacing w:after="0" w:line="240" w:lineRule="auto"/>
        <w:jc w:val="both"/>
        <w:rPr>
          <w:lang w:val="lv-LV"/>
        </w:rPr>
      </w:pPr>
      <w:proofErr w:type="gramStart"/>
      <w:r w:rsidRPr="00C65CB9">
        <w:rPr>
          <w:lang w:val="lv-LV"/>
        </w:rPr>
        <w:lastRenderedPageBreak/>
        <w:t>1997.gadā</w:t>
      </w:r>
      <w:proofErr w:type="gramEnd"/>
      <w:r w:rsidRPr="00C65CB9">
        <w:rPr>
          <w:lang w:val="lv-LV"/>
        </w:rPr>
        <w:t xml:space="preserve"> Latvijā tika ieviesta OCTA sistēma, kuras mērķis ir nodrošināt ceļu satiksmes negadījumā cietušo trešo personu interešu aizsardzību Latvijā un Zaļās kartes dalībvalstīs. </w:t>
      </w:r>
      <w:r w:rsidR="00256127" w:rsidRPr="00256127">
        <w:rPr>
          <w:lang w:val="lv-LV"/>
        </w:rPr>
        <w:t xml:space="preserve">Sistēmas sekmīgākai darbības nodrošināšanai </w:t>
      </w:r>
      <w:r w:rsidR="00256127">
        <w:rPr>
          <w:lang w:val="lv-LV"/>
        </w:rPr>
        <w:t>ir</w:t>
      </w:r>
      <w:r w:rsidR="00256127" w:rsidRPr="00256127">
        <w:rPr>
          <w:lang w:val="lv-LV"/>
        </w:rPr>
        <w:t xml:space="preserve"> izveidots </w:t>
      </w:r>
      <w:r>
        <w:rPr>
          <w:lang w:val="lv-LV"/>
        </w:rPr>
        <w:t>LTAB</w:t>
      </w:r>
      <w:r w:rsidRPr="00C65CB9">
        <w:rPr>
          <w:lang w:val="lv-LV"/>
        </w:rPr>
        <w:t xml:space="preserve">, </w:t>
      </w:r>
      <w:r w:rsidR="00256127">
        <w:rPr>
          <w:lang w:val="lv-LV"/>
        </w:rPr>
        <w:t xml:space="preserve">kurā </w:t>
      </w:r>
      <w:r w:rsidRPr="00C65CB9">
        <w:rPr>
          <w:lang w:val="lv-LV"/>
        </w:rPr>
        <w:t xml:space="preserve">apvienojušās apdrošināšanas sabiedrības, kurām ir tiesības veikt </w:t>
      </w:r>
      <w:r w:rsidR="00256127">
        <w:rPr>
          <w:lang w:val="lv-LV"/>
        </w:rPr>
        <w:t>OCTA</w:t>
      </w:r>
      <w:r w:rsidRPr="00C65CB9">
        <w:rPr>
          <w:lang w:val="lv-LV"/>
        </w:rPr>
        <w:t xml:space="preserve"> apdrošināšanu Latvijā</w:t>
      </w:r>
      <w:r w:rsidR="00256127">
        <w:rPr>
          <w:lang w:val="lv-LV"/>
        </w:rPr>
        <w:t xml:space="preserve"> – AAS “Balta”, AAS “Baltijas Apdrošināšanas Nams”, AAS “</w:t>
      </w:r>
      <w:r w:rsidR="00256127" w:rsidRPr="00256127">
        <w:rPr>
          <w:lang w:val="lv-LV"/>
        </w:rPr>
        <w:t>BTA Baltic Insurance Company</w:t>
      </w:r>
      <w:r w:rsidR="00256127">
        <w:rPr>
          <w:lang w:val="lv-LV"/>
        </w:rPr>
        <w:t>”, “Compensa Vienna Insurance Group”</w:t>
      </w:r>
      <w:r w:rsidR="00256127" w:rsidRPr="00256127">
        <w:rPr>
          <w:lang w:val="lv-LV"/>
        </w:rPr>
        <w:t xml:space="preserve"> ADB Latvijas filiāle</w:t>
      </w:r>
      <w:r w:rsidR="00256127">
        <w:rPr>
          <w:lang w:val="lv-LV"/>
        </w:rPr>
        <w:t>, “ERGO Insurance”</w:t>
      </w:r>
      <w:r w:rsidR="00256127" w:rsidRPr="00256127">
        <w:rPr>
          <w:lang w:val="lv-LV"/>
        </w:rPr>
        <w:t xml:space="preserve"> SE Latvijas filiāle</w:t>
      </w:r>
      <w:r w:rsidR="00256127">
        <w:rPr>
          <w:lang w:val="lv-LV"/>
        </w:rPr>
        <w:t xml:space="preserve">, </w:t>
      </w:r>
      <w:r w:rsidR="00200D70" w:rsidRPr="00972764">
        <w:rPr>
          <w:lang w:val="lv-LV"/>
        </w:rPr>
        <w:t>ADB</w:t>
      </w:r>
      <w:r w:rsidR="00256127" w:rsidRPr="00972764">
        <w:rPr>
          <w:lang w:val="lv-LV"/>
        </w:rPr>
        <w:t xml:space="preserve"> “Gjensidige”</w:t>
      </w:r>
      <w:r w:rsidR="00200D70" w:rsidRPr="00972764">
        <w:rPr>
          <w:lang w:val="lv-LV"/>
        </w:rPr>
        <w:t xml:space="preserve"> Latvijas filiāle</w:t>
      </w:r>
      <w:r w:rsidR="00256127" w:rsidRPr="00972764">
        <w:rPr>
          <w:lang w:val="lv-LV"/>
        </w:rPr>
        <w:t>,</w:t>
      </w:r>
      <w:r w:rsidR="00256127">
        <w:rPr>
          <w:lang w:val="lv-LV"/>
        </w:rPr>
        <w:t xml:space="preserve"> “If P&amp;C Insurance”</w:t>
      </w:r>
      <w:r w:rsidR="00256127" w:rsidRPr="00256127">
        <w:rPr>
          <w:lang w:val="lv-LV"/>
        </w:rPr>
        <w:t xml:space="preserve"> AS Latvijas filiāle</w:t>
      </w:r>
      <w:r w:rsidR="00256127">
        <w:rPr>
          <w:lang w:val="lv-LV"/>
        </w:rPr>
        <w:t xml:space="preserve">, </w:t>
      </w:r>
      <w:r w:rsidR="00CF25BB" w:rsidRPr="00CF25BB">
        <w:rPr>
          <w:lang w:val="lv-LV"/>
        </w:rPr>
        <w:t>“InterRisk Vienna Insurance Group” AAS</w:t>
      </w:r>
      <w:r w:rsidR="00CF25BB">
        <w:rPr>
          <w:lang w:val="lv-LV"/>
        </w:rPr>
        <w:t xml:space="preserve">, </w:t>
      </w:r>
      <w:r w:rsidR="00256127">
        <w:rPr>
          <w:lang w:val="lv-LV"/>
        </w:rPr>
        <w:t>“Seesam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 xml:space="preserve"> un </w:t>
      </w:r>
      <w:r w:rsidR="00256127">
        <w:rPr>
          <w:lang w:val="lv-LV"/>
        </w:rPr>
        <w:t>“Swedbank P&amp;C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>.</w:t>
      </w: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Tālr: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B63D25">
      <w:headerReference w:type="default" r:id="rId7"/>
      <w:footerReference w:type="default" r:id="rId8"/>
      <w:pgSz w:w="11906" w:h="16838"/>
      <w:pgMar w:top="993" w:right="1416" w:bottom="1276" w:left="1276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5ABDD" w14:textId="77777777" w:rsidR="0080111C" w:rsidRDefault="0080111C" w:rsidP="00C62AF7">
      <w:pPr>
        <w:spacing w:after="0" w:line="240" w:lineRule="auto"/>
      </w:pPr>
      <w:r>
        <w:separator/>
      </w:r>
    </w:p>
  </w:endnote>
  <w:endnote w:type="continuationSeparator" w:id="0">
    <w:p w14:paraId="289C8221" w14:textId="77777777" w:rsidR="0080111C" w:rsidRDefault="0080111C" w:rsidP="00C62AF7">
      <w:pPr>
        <w:spacing w:after="0" w:line="240" w:lineRule="auto"/>
      </w:pPr>
      <w:r>
        <w:continuationSeparator/>
      </w:r>
    </w:p>
  </w:endnote>
  <w:endnote w:type="continuationNotice" w:id="1">
    <w:p w14:paraId="7CC1DFD0" w14:textId="77777777" w:rsidR="0080111C" w:rsidRDefault="00801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562028" w:rsidRDefault="00562028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7CC2CD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562028" w:rsidRDefault="00562028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62484961" r:id="rId2"/>
      </w:object>
    </w:r>
  </w:p>
  <w:p w14:paraId="0881006E" w14:textId="77777777" w:rsidR="00562028" w:rsidRDefault="005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6EAA" w14:textId="77777777" w:rsidR="0080111C" w:rsidRDefault="0080111C" w:rsidP="00C62AF7">
      <w:pPr>
        <w:spacing w:after="0" w:line="240" w:lineRule="auto"/>
      </w:pPr>
      <w:r>
        <w:separator/>
      </w:r>
    </w:p>
  </w:footnote>
  <w:footnote w:type="continuationSeparator" w:id="0">
    <w:p w14:paraId="49D1D22A" w14:textId="77777777" w:rsidR="0080111C" w:rsidRDefault="0080111C" w:rsidP="00C62AF7">
      <w:pPr>
        <w:spacing w:after="0" w:line="240" w:lineRule="auto"/>
      </w:pPr>
      <w:r>
        <w:continuationSeparator/>
      </w:r>
    </w:p>
  </w:footnote>
  <w:footnote w:type="continuationNotice" w:id="1">
    <w:p w14:paraId="54FFFB9B" w14:textId="77777777" w:rsidR="0080111C" w:rsidRDefault="00801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562028" w:rsidRDefault="00562028">
    <w:pPr>
      <w:pStyle w:val="Header"/>
    </w:pPr>
  </w:p>
  <w:p w14:paraId="0CB634A5" w14:textId="77777777" w:rsidR="00562028" w:rsidRDefault="00562028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2484960" r:id="rId2"/>
      </w:object>
    </w:r>
  </w:p>
  <w:p w14:paraId="450E4B33" w14:textId="77777777" w:rsidR="00562028" w:rsidRDefault="00562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4D3A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0F6B"/>
    <w:rsid w:val="001E57C6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5F0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B2C3D"/>
    <w:rsid w:val="003B3325"/>
    <w:rsid w:val="003B7FFE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67758"/>
    <w:rsid w:val="00471FB7"/>
    <w:rsid w:val="0047674A"/>
    <w:rsid w:val="00480144"/>
    <w:rsid w:val="00481423"/>
    <w:rsid w:val="00483023"/>
    <w:rsid w:val="00484AAC"/>
    <w:rsid w:val="004B2074"/>
    <w:rsid w:val="004B2949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6202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71552"/>
    <w:rsid w:val="00682EDE"/>
    <w:rsid w:val="00684421"/>
    <w:rsid w:val="00694CD5"/>
    <w:rsid w:val="00695420"/>
    <w:rsid w:val="00695BC6"/>
    <w:rsid w:val="00696F47"/>
    <w:rsid w:val="006A5358"/>
    <w:rsid w:val="006A761E"/>
    <w:rsid w:val="006C3376"/>
    <w:rsid w:val="006D07C2"/>
    <w:rsid w:val="006D4C3D"/>
    <w:rsid w:val="006D69D5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063A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80111C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39D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8D1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3D2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535B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1B0"/>
    <w:rsid w:val="00D83991"/>
    <w:rsid w:val="00D8534D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0ACA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BE368B44-2442-4997-AA64-ED248211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1096-457E-4F71-8104-70400A7F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2017-07-25T07:50:00Z</dcterms:created>
  <dcterms:modified xsi:type="dcterms:W3CDTF">2017-07-25T07:50:00Z</dcterms:modified>
</cp:coreProperties>
</file>