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25771715" w:rsidR="00B44512" w:rsidRPr="008079C6" w:rsidRDefault="008079C6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6567F2D5" w:rsidR="00B44512" w:rsidRDefault="00FA3642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</w:t>
      </w:r>
      <w:r w:rsidR="00FA27BE">
        <w:rPr>
          <w:b/>
          <w:lang w:val="lv-LV"/>
        </w:rPr>
        <w:t>1.08</w:t>
      </w:r>
      <w:r w:rsidR="007377BD"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64BD3A06" w14:textId="0F194CC1" w:rsidR="008079C6" w:rsidRPr="00FA3642" w:rsidRDefault="008079C6" w:rsidP="00717F4C">
      <w:pPr>
        <w:jc w:val="both"/>
        <w:rPr>
          <w:b/>
          <w:sz w:val="26"/>
          <w:szCs w:val="26"/>
          <w:lang w:val="ru-RU"/>
        </w:rPr>
      </w:pPr>
      <w:r w:rsidRPr="00FA3642">
        <w:rPr>
          <w:b/>
          <w:sz w:val="26"/>
          <w:szCs w:val="26"/>
          <w:lang w:val="ru-RU"/>
        </w:rPr>
        <w:t xml:space="preserve">Увеличилось количество поданных заявлений об убытках ОСТА, а </w:t>
      </w:r>
      <w:r w:rsidR="00FA3642" w:rsidRPr="00FA3642">
        <w:rPr>
          <w:b/>
          <w:sz w:val="26"/>
          <w:szCs w:val="26"/>
          <w:lang w:val="ru-RU"/>
        </w:rPr>
        <w:t>также</w:t>
      </w:r>
      <w:r w:rsidRPr="00FA3642">
        <w:rPr>
          <w:b/>
          <w:sz w:val="26"/>
          <w:szCs w:val="26"/>
          <w:lang w:val="ru-RU"/>
        </w:rPr>
        <w:t xml:space="preserve"> объем выплаченных компенсаций</w:t>
      </w:r>
    </w:p>
    <w:p w14:paraId="2FB1AB9C" w14:textId="523F8CBB" w:rsidR="008079C6" w:rsidRPr="004279FF" w:rsidRDefault="008079C6" w:rsidP="00256127">
      <w:pPr>
        <w:spacing w:after="0" w:line="240" w:lineRule="auto"/>
        <w:jc w:val="both"/>
        <w:rPr>
          <w:b/>
          <w:lang w:val="ru-RU"/>
        </w:rPr>
      </w:pPr>
      <w:bookmarkStart w:id="0" w:name="_GoBack"/>
      <w:proofErr w:type="spellStart"/>
      <w:r>
        <w:rPr>
          <w:b/>
          <w:bCs/>
          <w:lang w:val="lv-LV"/>
        </w:rPr>
        <w:t>Статистика</w:t>
      </w:r>
      <w:proofErr w:type="spellEnd"/>
      <w:r>
        <w:rPr>
          <w:b/>
          <w:bCs/>
          <w:lang w:val="lv-LV"/>
        </w:rPr>
        <w:t xml:space="preserve"> </w:t>
      </w:r>
      <w:r>
        <w:rPr>
          <w:b/>
          <w:bCs/>
          <w:lang w:val="ru-RU"/>
        </w:rPr>
        <w:t xml:space="preserve">Латвийского бюро страховщиков транспортных средств (далее - </w:t>
      </w:r>
      <w:r>
        <w:rPr>
          <w:b/>
          <w:bCs/>
          <w:lang w:val="lv-LV"/>
        </w:rPr>
        <w:t xml:space="preserve">LTAB) </w:t>
      </w:r>
      <w:r>
        <w:rPr>
          <w:b/>
          <w:bCs/>
          <w:lang w:val="ru-RU"/>
        </w:rPr>
        <w:t>о результатах отрасли ОСТА в первом полугодии свидетельствует, что, по сравнению с первым</w:t>
      </w:r>
      <w:r w:rsidR="00374EE2">
        <w:rPr>
          <w:b/>
          <w:bCs/>
          <w:lang w:val="ru-RU"/>
        </w:rPr>
        <w:t>и 6 месяцами 2016 года, на 659 случаев</w:t>
      </w:r>
      <w:r>
        <w:rPr>
          <w:b/>
          <w:bCs/>
          <w:lang w:val="ru-RU"/>
        </w:rPr>
        <w:t xml:space="preserve"> </w:t>
      </w:r>
      <w:r w:rsidR="00FA3642">
        <w:rPr>
          <w:b/>
          <w:bCs/>
          <w:lang w:val="ru-RU"/>
        </w:rPr>
        <w:t>увеличилось количество дорожно-транспортных происшествий (далее – ДТП), в связи с которыми страховщикам были поданы заявления об ущербе.</w:t>
      </w:r>
      <w:r w:rsidR="00FA3642">
        <w:rPr>
          <w:b/>
          <w:bCs/>
          <w:lang w:val="lv-LV"/>
        </w:rPr>
        <w:t xml:space="preserve"> </w:t>
      </w:r>
      <w:r w:rsidR="00FA3642">
        <w:rPr>
          <w:b/>
          <w:bCs/>
          <w:lang w:val="ru-RU"/>
        </w:rPr>
        <w:t xml:space="preserve">Общий объем выплаченных в течение первых шести месяцев этого года компенсаций </w:t>
      </w:r>
      <w:r w:rsidR="004279FF">
        <w:rPr>
          <w:b/>
          <w:bCs/>
          <w:lang w:val="ru-RU"/>
        </w:rPr>
        <w:t xml:space="preserve">увеличился на </w:t>
      </w:r>
      <w:r w:rsidR="00374EE2">
        <w:rPr>
          <w:b/>
          <w:bCs/>
          <w:lang w:val="ru-RU"/>
        </w:rPr>
        <w:t>2,38 миллионов евро,</w:t>
      </w:r>
      <w:r w:rsidR="004279FF">
        <w:rPr>
          <w:b/>
          <w:bCs/>
          <w:lang w:val="ru-RU"/>
        </w:rPr>
        <w:t xml:space="preserve"> в свою очередь, средний объем компенсации за ДТП, произошедшие в первом полугодии 2017 года, увеличился на </w:t>
      </w:r>
      <w:r w:rsidR="00374EE2">
        <w:rPr>
          <w:b/>
          <w:bCs/>
          <w:lang w:val="ru-RU"/>
        </w:rPr>
        <w:t xml:space="preserve">54,37 евро. </w:t>
      </w:r>
      <w:r w:rsidR="004279FF">
        <w:rPr>
          <w:b/>
          <w:bCs/>
          <w:lang w:val="ru-RU"/>
        </w:rPr>
        <w:t xml:space="preserve"> </w:t>
      </w:r>
    </w:p>
    <w:bookmarkEnd w:id="0"/>
    <w:p w14:paraId="4E115B15" w14:textId="77777777" w:rsidR="008079C6" w:rsidRPr="008079C6" w:rsidRDefault="008079C6" w:rsidP="00256127">
      <w:pPr>
        <w:spacing w:after="0" w:line="240" w:lineRule="auto"/>
        <w:jc w:val="both"/>
        <w:rPr>
          <w:b/>
          <w:lang w:val="ru-RU"/>
        </w:rPr>
      </w:pPr>
    </w:p>
    <w:p w14:paraId="466C4B5E" w14:textId="7C4C12BE" w:rsidR="00532955" w:rsidRPr="004279FF" w:rsidRDefault="004279FF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В первом полугодии 2017 года в виде страховых компенсаций выплачено в общей сложности 22,89 миллионов евро, что на </w:t>
      </w:r>
      <w:r w:rsidR="00374EE2">
        <w:rPr>
          <w:lang w:val="ru-RU"/>
        </w:rPr>
        <w:t>2,38 миллионов евро</w:t>
      </w:r>
      <w:r>
        <w:rPr>
          <w:lang w:val="ru-RU"/>
        </w:rPr>
        <w:t xml:space="preserve"> больше, чем за тот же период в прошлом году. Объем средней компенсации за произошедшие в этом полугодии страховые случаи составил 877</w:t>
      </w:r>
      <w:r w:rsidR="00717A56" w:rsidRPr="00717A56">
        <w:rPr>
          <w:lang w:val="ru-RU"/>
        </w:rPr>
        <w:t>*</w:t>
      </w:r>
      <w:r>
        <w:rPr>
          <w:lang w:val="ru-RU"/>
        </w:rPr>
        <w:t xml:space="preserve"> евро, что, по сравнению с первыми шестью месяцами 2016 года, на </w:t>
      </w:r>
      <w:r w:rsidR="00374EE2">
        <w:rPr>
          <w:lang w:val="ru-RU"/>
        </w:rPr>
        <w:t>54,37 евро</w:t>
      </w:r>
      <w:r>
        <w:rPr>
          <w:lang w:val="ru-RU"/>
        </w:rPr>
        <w:t xml:space="preserve"> больше. </w:t>
      </w:r>
    </w:p>
    <w:p w14:paraId="6BDED5F7" w14:textId="77777777" w:rsidR="004279FF" w:rsidRPr="004279FF" w:rsidRDefault="004279FF" w:rsidP="00256127">
      <w:pPr>
        <w:spacing w:after="0" w:line="240" w:lineRule="auto"/>
        <w:jc w:val="both"/>
        <w:rPr>
          <w:lang w:val="lv-LV"/>
        </w:rPr>
      </w:pPr>
    </w:p>
    <w:p w14:paraId="24D30FAA" w14:textId="0D77F452" w:rsidR="004279FF" w:rsidRPr="004279FF" w:rsidRDefault="004279FF" w:rsidP="004279FF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Первые шесть месяцев 2017 года отрасль ОСТА завершила с убытками в размере 6,2 миллионов евро. "Отрасль все еще продолжает работать с убытками, однако наблюдается стабилизация ситуации, о чем свидетельствует уменьшение объема убытков по сравнению с первым полугодием прошлого года. Это в большей мере связано </w:t>
      </w:r>
      <w:r w:rsidR="00717A56">
        <w:rPr>
          <w:color w:val="000000" w:themeColor="text1"/>
          <w:lang w:val="ru-RU"/>
        </w:rPr>
        <w:t>с ростом</w:t>
      </w:r>
      <w:r>
        <w:rPr>
          <w:color w:val="000000" w:themeColor="text1"/>
          <w:lang w:val="ru-RU"/>
        </w:rPr>
        <w:t xml:space="preserve"> цен на полисы ОСТА, а также увеличением эффективности работы страховых обществ», - поясняет </w:t>
      </w:r>
      <w:r w:rsidRPr="004279FF">
        <w:rPr>
          <w:color w:val="000000" w:themeColor="text1"/>
          <w:lang w:val="ru-RU"/>
        </w:rPr>
        <w:t>председатель правления LTAB Янис Абашин.</w:t>
      </w:r>
    </w:p>
    <w:p w14:paraId="604F7D71" w14:textId="77777777" w:rsidR="004279FF" w:rsidRDefault="004279FF" w:rsidP="004279FF">
      <w:pPr>
        <w:jc w:val="both"/>
        <w:rPr>
          <w:lang w:val="lv-LV"/>
        </w:rPr>
      </w:pPr>
      <w:r>
        <w:rPr>
          <w:lang w:val="lv-LV"/>
        </w:rPr>
        <w:t xml:space="preserve">В 1997 </w:t>
      </w:r>
      <w:proofErr w:type="spellStart"/>
      <w:r>
        <w:rPr>
          <w:lang w:val="lv-LV"/>
        </w:rPr>
        <w:t>году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введена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система</w:t>
      </w:r>
      <w:proofErr w:type="spellEnd"/>
      <w:r>
        <w:rPr>
          <w:lang w:val="lv-LV"/>
        </w:rPr>
        <w:t xml:space="preserve"> ОСТА, </w:t>
      </w:r>
      <w:proofErr w:type="spellStart"/>
      <w:r>
        <w:rPr>
          <w:lang w:val="lv-LV"/>
        </w:rPr>
        <w:t>цель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которой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защиту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интересов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третьих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лиц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пострадавших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дорожном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движении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так</w:t>
      </w:r>
      <w:proofErr w:type="spellEnd"/>
      <w:r>
        <w:rPr>
          <w:lang w:val="lv-LV"/>
        </w:rPr>
        <w:t xml:space="preserve"> в </w:t>
      </w:r>
      <w:proofErr w:type="spellStart"/>
      <w:r>
        <w:rPr>
          <w:lang w:val="lv-LV"/>
        </w:rPr>
        <w:t>странах-участницах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Зеленой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карты</w:t>
      </w:r>
      <w:proofErr w:type="spellEnd"/>
      <w:r>
        <w:rPr>
          <w:lang w:val="lv-LV"/>
        </w:rPr>
        <w:t xml:space="preserve">.  </w:t>
      </w:r>
      <w:proofErr w:type="spellStart"/>
      <w:r>
        <w:rPr>
          <w:lang w:val="lv-LV"/>
        </w:rPr>
        <w:t>Для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обеспечения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успешной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деятельности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системы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было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создано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Латвийское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Бюро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страховщиков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Транспортных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средств</w:t>
      </w:r>
      <w:proofErr w:type="spellEnd"/>
      <w:r>
        <w:rPr>
          <w:lang w:val="lv-LV"/>
        </w:rPr>
        <w:t xml:space="preserve"> (LTAB), </w:t>
      </w:r>
      <w:proofErr w:type="spellStart"/>
      <w:r>
        <w:rPr>
          <w:lang w:val="lv-LV"/>
        </w:rPr>
        <w:t>которое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объединяет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страховые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общества</w:t>
      </w:r>
      <w:proofErr w:type="spellEnd"/>
      <w:r>
        <w:rPr>
          <w:lang w:val="lv-LV"/>
        </w:rPr>
        <w:t xml:space="preserve">, </w:t>
      </w:r>
      <w:proofErr w:type="spellStart"/>
      <w:r>
        <w:rPr>
          <w:lang w:val="lv-LV"/>
        </w:rPr>
        <w:t>обладающие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правом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производить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страхование</w:t>
      </w:r>
      <w:proofErr w:type="spellEnd"/>
      <w:r>
        <w:rPr>
          <w:lang w:val="lv-LV"/>
        </w:rPr>
        <w:t xml:space="preserve"> ОСТА в </w:t>
      </w:r>
      <w:proofErr w:type="spellStart"/>
      <w:r>
        <w:rPr>
          <w:lang w:val="lv-LV"/>
        </w:rPr>
        <w:t>Латвии</w:t>
      </w:r>
      <w:proofErr w:type="spellEnd"/>
      <w:r>
        <w:rPr>
          <w:lang w:val="lv-LV"/>
        </w:rPr>
        <w:t xml:space="preserve"> - AAS “Balta”, AAS “Baltijas </w:t>
      </w:r>
      <w:proofErr w:type="spellStart"/>
      <w:r>
        <w:rPr>
          <w:lang w:val="lv-LV"/>
        </w:rPr>
        <w:t>Apdrosinasanas</w:t>
      </w:r>
      <w:proofErr w:type="spellEnd"/>
      <w:r>
        <w:rPr>
          <w:lang w:val="lv-LV"/>
        </w:rPr>
        <w:t xml:space="preserve"> Nams”, AAS “</w:t>
      </w:r>
      <w:proofErr w:type="spellStart"/>
      <w:r>
        <w:rPr>
          <w:lang w:val="lv-LV"/>
        </w:rPr>
        <w:t>InterRisk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AAS “BTA </w:t>
      </w:r>
      <w:proofErr w:type="spellStart"/>
      <w:r>
        <w:rPr>
          <w:lang w:val="lv-LV"/>
        </w:rPr>
        <w:t>Baltic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Company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DB “</w:t>
      </w:r>
      <w:proofErr w:type="spellStart"/>
      <w:r>
        <w:rPr>
          <w:lang w:val="lv-LV"/>
        </w:rPr>
        <w:t>Compensa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Vienna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Group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SE “ERGO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ADB “</w:t>
      </w:r>
      <w:proofErr w:type="spellStart"/>
      <w:r>
        <w:rPr>
          <w:lang w:val="lv-LV"/>
        </w:rPr>
        <w:t>Gjensidige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If</w:t>
      </w:r>
      <w:proofErr w:type="spellEnd"/>
      <w:r>
        <w:rPr>
          <w:lang w:val="lv-LV"/>
        </w:rPr>
        <w:t xml:space="preserve"> P&amp;C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”,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Seesam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Insurance</w:t>
      </w:r>
      <w:proofErr w:type="spellEnd"/>
      <w:r>
        <w:rPr>
          <w:lang w:val="lv-LV"/>
        </w:rPr>
        <w:t xml:space="preserve">” AS и </w:t>
      </w:r>
      <w:proofErr w:type="spellStart"/>
      <w:r>
        <w:rPr>
          <w:lang w:val="lv-LV"/>
        </w:rPr>
        <w:t>латвийский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филиал</w:t>
      </w:r>
      <w:proofErr w:type="spellEnd"/>
      <w:r>
        <w:rPr>
          <w:lang w:val="lv-LV"/>
        </w:rPr>
        <w:t xml:space="preserve"> AS “</w:t>
      </w:r>
      <w:proofErr w:type="spellStart"/>
      <w:r>
        <w:rPr>
          <w:lang w:val="lv-LV"/>
        </w:rPr>
        <w:t>Swedbank</w:t>
      </w:r>
      <w:proofErr w:type="spellEnd"/>
      <w:r>
        <w:rPr>
          <w:lang w:val="lv-LV"/>
        </w:rPr>
        <w:t xml:space="preserve"> P&amp;C Insurance”.</w:t>
      </w:r>
    </w:p>
    <w:p w14:paraId="648C40CC" w14:textId="55DE9199" w:rsidR="004279FF" w:rsidRPr="00717A56" w:rsidRDefault="00717A56" w:rsidP="00717A56">
      <w:pPr>
        <w:spacing w:after="0" w:line="240" w:lineRule="auto"/>
        <w:jc w:val="both"/>
        <w:rPr>
          <w:i/>
          <w:sz w:val="18"/>
          <w:szCs w:val="18"/>
          <w:lang w:val="ru-RU"/>
        </w:rPr>
      </w:pPr>
      <w:r w:rsidRPr="00717A56">
        <w:rPr>
          <w:i/>
          <w:sz w:val="18"/>
          <w:szCs w:val="18"/>
          <w:lang w:val="lv-LV"/>
        </w:rPr>
        <w:t>*</w:t>
      </w:r>
      <w:proofErr w:type="spellStart"/>
      <w:r w:rsidRPr="00717A56">
        <w:rPr>
          <w:i/>
          <w:sz w:val="18"/>
          <w:szCs w:val="18"/>
          <w:lang w:val="lv-LV"/>
        </w:rPr>
        <w:t>Объем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средней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компенсации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составляет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сумма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компенсации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на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основании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решений</w:t>
      </w:r>
      <w:proofErr w:type="spellEnd"/>
      <w:r w:rsidRPr="00717A56">
        <w:rPr>
          <w:i/>
          <w:sz w:val="18"/>
          <w:szCs w:val="18"/>
          <w:lang w:val="lv-LV"/>
        </w:rPr>
        <w:t xml:space="preserve">, </w:t>
      </w:r>
      <w:proofErr w:type="spellStart"/>
      <w:r w:rsidRPr="00717A56">
        <w:rPr>
          <w:i/>
          <w:sz w:val="18"/>
          <w:szCs w:val="18"/>
          <w:lang w:val="lv-LV"/>
        </w:rPr>
        <w:t>принятых</w:t>
      </w:r>
      <w:proofErr w:type="spellEnd"/>
      <w:r w:rsidRPr="00717A56">
        <w:rPr>
          <w:i/>
          <w:sz w:val="18"/>
          <w:szCs w:val="18"/>
          <w:lang w:val="lv-LV"/>
        </w:rPr>
        <w:t xml:space="preserve"> в </w:t>
      </w:r>
      <w:proofErr w:type="spellStart"/>
      <w:r w:rsidRPr="00717A56">
        <w:rPr>
          <w:i/>
          <w:sz w:val="18"/>
          <w:szCs w:val="18"/>
          <w:lang w:val="lv-LV"/>
        </w:rPr>
        <w:t>определенный</w:t>
      </w:r>
      <w:proofErr w:type="spellEnd"/>
      <w:r w:rsidRPr="00717A56">
        <w:rPr>
          <w:i/>
          <w:sz w:val="18"/>
          <w:szCs w:val="18"/>
          <w:lang w:val="lv-LV"/>
        </w:rPr>
        <w:t xml:space="preserve"> </w:t>
      </w:r>
      <w:proofErr w:type="spellStart"/>
      <w:r w:rsidRPr="00717A56">
        <w:rPr>
          <w:i/>
          <w:sz w:val="18"/>
          <w:szCs w:val="18"/>
          <w:lang w:val="lv-LV"/>
        </w:rPr>
        <w:t>период</w:t>
      </w:r>
      <w:proofErr w:type="spellEnd"/>
      <w:r w:rsidRPr="00717A56">
        <w:rPr>
          <w:i/>
          <w:sz w:val="18"/>
          <w:szCs w:val="18"/>
          <w:lang w:val="lv-LV"/>
        </w:rPr>
        <w:t xml:space="preserve">, </w:t>
      </w:r>
      <w:r>
        <w:rPr>
          <w:i/>
          <w:sz w:val="18"/>
          <w:szCs w:val="18"/>
          <w:lang w:val="ru-RU"/>
        </w:rPr>
        <w:t>деленная на соответствующие страховые случаи в тот же период.</w:t>
      </w:r>
    </w:p>
    <w:p w14:paraId="739ECFC3" w14:textId="77777777" w:rsidR="004279FF" w:rsidRPr="00717A56" w:rsidRDefault="004279FF" w:rsidP="004279FF">
      <w:pPr>
        <w:spacing w:after="0" w:line="240" w:lineRule="auto"/>
        <w:rPr>
          <w:sz w:val="20"/>
          <w:szCs w:val="20"/>
          <w:lang w:val="ru-RU"/>
        </w:rPr>
      </w:pPr>
    </w:p>
    <w:p w14:paraId="2E955D22" w14:textId="77777777" w:rsidR="004279FF" w:rsidRDefault="004279FF" w:rsidP="004279FF">
      <w:pPr>
        <w:spacing w:after="0" w:line="240" w:lineRule="auto"/>
        <w:jc w:val="right"/>
        <w:rPr>
          <w:i/>
          <w:iCs/>
          <w:sz w:val="20"/>
          <w:szCs w:val="20"/>
          <w:lang w:val="ru-RU"/>
        </w:rPr>
      </w:pPr>
      <w:r>
        <w:rPr>
          <w:i/>
          <w:iCs/>
          <w:sz w:val="20"/>
          <w:szCs w:val="20"/>
          <w:lang w:val="ru-RU"/>
        </w:rPr>
        <w:t>Дополнительная информация</w:t>
      </w:r>
    </w:p>
    <w:p w14:paraId="3322AD68" w14:textId="77777777" w:rsidR="004279FF" w:rsidRDefault="004279FF" w:rsidP="004279F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r>
        <w:rPr>
          <w:i/>
          <w:iCs/>
          <w:sz w:val="20"/>
          <w:szCs w:val="20"/>
          <w:lang w:val="ru-RU"/>
        </w:rPr>
        <w:t xml:space="preserve">Консультант по связям с общественностью </w:t>
      </w:r>
      <w:r>
        <w:rPr>
          <w:i/>
          <w:iCs/>
          <w:sz w:val="20"/>
          <w:szCs w:val="20"/>
          <w:lang w:val="lv-LV"/>
        </w:rPr>
        <w:t xml:space="preserve">LTAB </w:t>
      </w:r>
    </w:p>
    <w:p w14:paraId="54633045" w14:textId="77777777" w:rsidR="004279FF" w:rsidRDefault="004279FF" w:rsidP="004279F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r>
        <w:rPr>
          <w:i/>
          <w:iCs/>
          <w:sz w:val="20"/>
          <w:szCs w:val="20"/>
          <w:lang w:val="ru-RU"/>
        </w:rPr>
        <w:t>Гинтс Лаздиньш</w:t>
      </w:r>
    </w:p>
    <w:p w14:paraId="7C3F9776" w14:textId="77777777" w:rsidR="004279FF" w:rsidRDefault="004279FF" w:rsidP="004279FF">
      <w:pPr>
        <w:jc w:val="right"/>
        <w:rPr>
          <w:lang w:val="ru-RU"/>
        </w:rPr>
      </w:pPr>
      <w:r>
        <w:rPr>
          <w:i/>
          <w:iCs/>
          <w:sz w:val="20"/>
          <w:szCs w:val="20"/>
          <w:lang w:val="ru-RU"/>
        </w:rPr>
        <w:t>Тел</w:t>
      </w:r>
      <w:r>
        <w:rPr>
          <w:i/>
          <w:iCs/>
          <w:sz w:val="20"/>
          <w:szCs w:val="20"/>
          <w:lang w:val="lv-LV"/>
        </w:rPr>
        <w:t xml:space="preserve">: +371 29442282, </w:t>
      </w:r>
      <w:r>
        <w:rPr>
          <w:i/>
          <w:iCs/>
          <w:sz w:val="20"/>
          <w:szCs w:val="20"/>
          <w:lang w:val="ru-RU"/>
        </w:rPr>
        <w:t xml:space="preserve">Э-почта: </w:t>
      </w:r>
      <w:hyperlink r:id="rId8" w:history="1">
        <w:r>
          <w:rPr>
            <w:rStyle w:val="Hyperlink"/>
            <w:i/>
            <w:iCs/>
            <w:sz w:val="20"/>
            <w:szCs w:val="20"/>
          </w:rPr>
          <w:t>gints</w:t>
        </w:r>
        <w:r>
          <w:rPr>
            <w:rStyle w:val="Hyperlink"/>
            <w:i/>
            <w:iCs/>
            <w:sz w:val="20"/>
            <w:szCs w:val="20"/>
            <w:lang w:val="ru-RU"/>
          </w:rPr>
          <w:t>@</w:t>
        </w:r>
        <w:r>
          <w:rPr>
            <w:rStyle w:val="Hyperlink"/>
            <w:i/>
            <w:iCs/>
            <w:sz w:val="20"/>
            <w:szCs w:val="20"/>
          </w:rPr>
          <w:t>olsen</w:t>
        </w:r>
        <w:r>
          <w:rPr>
            <w:rStyle w:val="Hyperlink"/>
            <w:i/>
            <w:iCs/>
            <w:sz w:val="20"/>
            <w:szCs w:val="20"/>
            <w:lang w:val="ru-RU"/>
          </w:rPr>
          <w:t>.</w:t>
        </w:r>
        <w:r>
          <w:rPr>
            <w:rStyle w:val="Hyperlink"/>
            <w:i/>
            <w:iCs/>
            <w:sz w:val="20"/>
            <w:szCs w:val="20"/>
          </w:rPr>
          <w:t>lv</w:t>
        </w:r>
      </w:hyperlink>
    </w:p>
    <w:p w14:paraId="20C0F4B4" w14:textId="25785E5B" w:rsidR="00FA27BE" w:rsidRPr="004279FF" w:rsidRDefault="00FA27BE" w:rsidP="00256127">
      <w:pPr>
        <w:spacing w:after="0" w:line="240" w:lineRule="auto"/>
        <w:jc w:val="both"/>
        <w:rPr>
          <w:lang w:val="ru-RU"/>
        </w:rPr>
      </w:pPr>
    </w:p>
    <w:p w14:paraId="69A6FE67" w14:textId="56848488" w:rsidR="00617E51" w:rsidRPr="00374EE2" w:rsidRDefault="00617E51" w:rsidP="001A0DF5">
      <w:pPr>
        <w:spacing w:after="0" w:line="240" w:lineRule="auto"/>
        <w:jc w:val="right"/>
        <w:rPr>
          <w:sz w:val="20"/>
          <w:szCs w:val="20"/>
          <w:lang w:val="ru-RU"/>
        </w:rPr>
      </w:pPr>
    </w:p>
    <w:sectPr w:rsidR="00617E51" w:rsidRPr="00374EE2" w:rsidSect="00B63D25">
      <w:headerReference w:type="default" r:id="rId9"/>
      <w:footerReference w:type="default" r:id="rId10"/>
      <w:pgSz w:w="11906" w:h="16838"/>
      <w:pgMar w:top="993" w:right="1416" w:bottom="1276" w:left="1276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177F0" w14:textId="77777777" w:rsidR="00397F29" w:rsidRDefault="00397F29" w:rsidP="00C62AF7">
      <w:pPr>
        <w:spacing w:after="0" w:line="240" w:lineRule="auto"/>
      </w:pPr>
      <w:r>
        <w:separator/>
      </w:r>
    </w:p>
  </w:endnote>
  <w:endnote w:type="continuationSeparator" w:id="0">
    <w:p w14:paraId="2F29EA62" w14:textId="77777777" w:rsidR="00397F29" w:rsidRDefault="00397F29" w:rsidP="00C62AF7">
      <w:pPr>
        <w:spacing w:after="0" w:line="240" w:lineRule="auto"/>
      </w:pPr>
      <w:r>
        <w:continuationSeparator/>
      </w:r>
    </w:p>
  </w:endnote>
  <w:endnote w:type="continuationNotice" w:id="1">
    <w:p w14:paraId="16C3C665" w14:textId="77777777" w:rsidR="00397F29" w:rsidRDefault="00397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562028" w:rsidRDefault="00562028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460E07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562028" w:rsidRDefault="00562028" w:rsidP="00C62AF7">
    <w:pPr>
      <w:pStyle w:val="Footer"/>
      <w:jc w:val="center"/>
    </w:pPr>
    <w:r>
      <w:object w:dxaOrig="8490" w:dyaOrig="433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4.75pt;height:18.75pt">
          <v:imagedata r:id="rId1" o:title=""/>
        </v:shape>
        <o:OLEObject Type="Embed" ProgID="CorelDraw.Graphic.17" ShapeID="_x0000_i1026" DrawAspect="Content" ObjectID="_1563100103" r:id="rId2"/>
      </w:object>
    </w:r>
  </w:p>
  <w:p w14:paraId="0881006E" w14:textId="77777777" w:rsidR="00562028" w:rsidRDefault="00562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EEA10" w14:textId="77777777" w:rsidR="00397F29" w:rsidRDefault="00397F29" w:rsidP="00C62AF7">
      <w:pPr>
        <w:spacing w:after="0" w:line="240" w:lineRule="auto"/>
      </w:pPr>
      <w:r>
        <w:separator/>
      </w:r>
    </w:p>
  </w:footnote>
  <w:footnote w:type="continuationSeparator" w:id="0">
    <w:p w14:paraId="67D8744E" w14:textId="77777777" w:rsidR="00397F29" w:rsidRDefault="00397F29" w:rsidP="00C62AF7">
      <w:pPr>
        <w:spacing w:after="0" w:line="240" w:lineRule="auto"/>
      </w:pPr>
      <w:r>
        <w:continuationSeparator/>
      </w:r>
    </w:p>
  </w:footnote>
  <w:footnote w:type="continuationNotice" w:id="1">
    <w:p w14:paraId="7ACE7D7B" w14:textId="77777777" w:rsidR="00397F29" w:rsidRDefault="00397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562028" w:rsidRDefault="00562028">
    <w:pPr>
      <w:pStyle w:val="Header"/>
    </w:pPr>
  </w:p>
  <w:p w14:paraId="0CB634A5" w14:textId="77777777" w:rsidR="00562028" w:rsidRDefault="00562028">
    <w:pPr>
      <w:pStyle w:val="Header"/>
    </w:pPr>
    <w:r>
      <w:object w:dxaOrig="2843" w:dyaOrig="1013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63100102" r:id="rId2"/>
      </w:object>
    </w:r>
  </w:p>
  <w:p w14:paraId="450E4B33" w14:textId="77777777" w:rsidR="00562028" w:rsidRDefault="00562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12ACE"/>
    <w:multiLevelType w:val="hybridMultilevel"/>
    <w:tmpl w:val="57F0136E"/>
    <w:lvl w:ilvl="0" w:tplc="38BAB90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5D09"/>
    <w:rsid w:val="0003095B"/>
    <w:rsid w:val="00031B96"/>
    <w:rsid w:val="00031F20"/>
    <w:rsid w:val="00032071"/>
    <w:rsid w:val="00033965"/>
    <w:rsid w:val="00034426"/>
    <w:rsid w:val="00040AE8"/>
    <w:rsid w:val="00042A1B"/>
    <w:rsid w:val="00043721"/>
    <w:rsid w:val="00046772"/>
    <w:rsid w:val="00051859"/>
    <w:rsid w:val="000533E0"/>
    <w:rsid w:val="00057EA6"/>
    <w:rsid w:val="00070C9E"/>
    <w:rsid w:val="000847FE"/>
    <w:rsid w:val="00091DE0"/>
    <w:rsid w:val="00093FF3"/>
    <w:rsid w:val="00094D3A"/>
    <w:rsid w:val="00095A98"/>
    <w:rsid w:val="000A4639"/>
    <w:rsid w:val="000B5642"/>
    <w:rsid w:val="000C06FE"/>
    <w:rsid w:val="000C0786"/>
    <w:rsid w:val="000D0D3C"/>
    <w:rsid w:val="000D2A57"/>
    <w:rsid w:val="000D3097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0F6B"/>
    <w:rsid w:val="001E57C6"/>
    <w:rsid w:val="00200D70"/>
    <w:rsid w:val="00214B20"/>
    <w:rsid w:val="00221376"/>
    <w:rsid w:val="00221595"/>
    <w:rsid w:val="00224321"/>
    <w:rsid w:val="00234C33"/>
    <w:rsid w:val="00235794"/>
    <w:rsid w:val="0023634A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15F0"/>
    <w:rsid w:val="003439F8"/>
    <w:rsid w:val="00345146"/>
    <w:rsid w:val="003472AE"/>
    <w:rsid w:val="003653B1"/>
    <w:rsid w:val="003662A8"/>
    <w:rsid w:val="00374EE2"/>
    <w:rsid w:val="00376EBA"/>
    <w:rsid w:val="00377DFC"/>
    <w:rsid w:val="00387404"/>
    <w:rsid w:val="003931BE"/>
    <w:rsid w:val="00397F29"/>
    <w:rsid w:val="003B2C3D"/>
    <w:rsid w:val="003B3325"/>
    <w:rsid w:val="003B7FFE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152B0"/>
    <w:rsid w:val="004231DF"/>
    <w:rsid w:val="00423962"/>
    <w:rsid w:val="00424330"/>
    <w:rsid w:val="004279FF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67758"/>
    <w:rsid w:val="00471FB7"/>
    <w:rsid w:val="0047674A"/>
    <w:rsid w:val="00480144"/>
    <w:rsid w:val="00481423"/>
    <w:rsid w:val="00483023"/>
    <w:rsid w:val="00484AAC"/>
    <w:rsid w:val="004B2074"/>
    <w:rsid w:val="004B2949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32955"/>
    <w:rsid w:val="00546CA6"/>
    <w:rsid w:val="0054769C"/>
    <w:rsid w:val="00547718"/>
    <w:rsid w:val="00555CA2"/>
    <w:rsid w:val="0056202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17A1C"/>
    <w:rsid w:val="00617E51"/>
    <w:rsid w:val="00622A7B"/>
    <w:rsid w:val="00624025"/>
    <w:rsid w:val="00633287"/>
    <w:rsid w:val="00646632"/>
    <w:rsid w:val="00647776"/>
    <w:rsid w:val="00661B1B"/>
    <w:rsid w:val="0066716C"/>
    <w:rsid w:val="00671552"/>
    <w:rsid w:val="00682EDE"/>
    <w:rsid w:val="00684421"/>
    <w:rsid w:val="00694CD5"/>
    <w:rsid w:val="00695420"/>
    <w:rsid w:val="00695BC6"/>
    <w:rsid w:val="00696F47"/>
    <w:rsid w:val="006A5358"/>
    <w:rsid w:val="006A761E"/>
    <w:rsid w:val="006C3376"/>
    <w:rsid w:val="006D07C2"/>
    <w:rsid w:val="006D4C3D"/>
    <w:rsid w:val="006D69D5"/>
    <w:rsid w:val="006E1F10"/>
    <w:rsid w:val="006E3B65"/>
    <w:rsid w:val="006E75CA"/>
    <w:rsid w:val="006F39F7"/>
    <w:rsid w:val="006F5138"/>
    <w:rsid w:val="00717A56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7408B"/>
    <w:rsid w:val="007772E1"/>
    <w:rsid w:val="0078063A"/>
    <w:rsid w:val="007865F0"/>
    <w:rsid w:val="007945D6"/>
    <w:rsid w:val="00796E1D"/>
    <w:rsid w:val="007B39C1"/>
    <w:rsid w:val="007B4581"/>
    <w:rsid w:val="007B58F9"/>
    <w:rsid w:val="007C3830"/>
    <w:rsid w:val="007C56F9"/>
    <w:rsid w:val="007C78FE"/>
    <w:rsid w:val="007E2545"/>
    <w:rsid w:val="00801A6E"/>
    <w:rsid w:val="008037BF"/>
    <w:rsid w:val="008079C6"/>
    <w:rsid w:val="00814616"/>
    <w:rsid w:val="008175EC"/>
    <w:rsid w:val="008219D6"/>
    <w:rsid w:val="008263F2"/>
    <w:rsid w:val="008278BE"/>
    <w:rsid w:val="0083007F"/>
    <w:rsid w:val="0083141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32E6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0DCA"/>
    <w:rsid w:val="00906349"/>
    <w:rsid w:val="00910678"/>
    <w:rsid w:val="00916F70"/>
    <w:rsid w:val="00917C49"/>
    <w:rsid w:val="009469B0"/>
    <w:rsid w:val="00950993"/>
    <w:rsid w:val="0095482C"/>
    <w:rsid w:val="00960BB9"/>
    <w:rsid w:val="00964DE9"/>
    <w:rsid w:val="0097040E"/>
    <w:rsid w:val="009722A2"/>
    <w:rsid w:val="00972764"/>
    <w:rsid w:val="00973D97"/>
    <w:rsid w:val="00975B7D"/>
    <w:rsid w:val="00984BEE"/>
    <w:rsid w:val="00993AE3"/>
    <w:rsid w:val="00994B4F"/>
    <w:rsid w:val="0099708E"/>
    <w:rsid w:val="009A786B"/>
    <w:rsid w:val="009B0C91"/>
    <w:rsid w:val="009B4AE8"/>
    <w:rsid w:val="009B5D19"/>
    <w:rsid w:val="009C0771"/>
    <w:rsid w:val="009C520F"/>
    <w:rsid w:val="009C7EB9"/>
    <w:rsid w:val="009D339D"/>
    <w:rsid w:val="009D3EE4"/>
    <w:rsid w:val="009D4E68"/>
    <w:rsid w:val="009E2E5A"/>
    <w:rsid w:val="009E3CC3"/>
    <w:rsid w:val="009F12BD"/>
    <w:rsid w:val="00A11F47"/>
    <w:rsid w:val="00A122A4"/>
    <w:rsid w:val="00A171D4"/>
    <w:rsid w:val="00A24B52"/>
    <w:rsid w:val="00A35FB9"/>
    <w:rsid w:val="00A42D27"/>
    <w:rsid w:val="00A44EEC"/>
    <w:rsid w:val="00A47748"/>
    <w:rsid w:val="00A5342F"/>
    <w:rsid w:val="00A5538B"/>
    <w:rsid w:val="00A558D1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63D2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03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0EE"/>
    <w:rsid w:val="00CD4857"/>
    <w:rsid w:val="00CD5A29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11B0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F0ADC"/>
    <w:rsid w:val="00E06465"/>
    <w:rsid w:val="00E22A84"/>
    <w:rsid w:val="00E23A71"/>
    <w:rsid w:val="00E2579F"/>
    <w:rsid w:val="00E3312B"/>
    <w:rsid w:val="00E349CD"/>
    <w:rsid w:val="00E40437"/>
    <w:rsid w:val="00E40873"/>
    <w:rsid w:val="00E42096"/>
    <w:rsid w:val="00E43F9F"/>
    <w:rsid w:val="00E440C8"/>
    <w:rsid w:val="00E55374"/>
    <w:rsid w:val="00E60518"/>
    <w:rsid w:val="00E8391D"/>
    <w:rsid w:val="00E90ACA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054FA"/>
    <w:rsid w:val="00F12715"/>
    <w:rsid w:val="00F216AB"/>
    <w:rsid w:val="00F21898"/>
    <w:rsid w:val="00F218D0"/>
    <w:rsid w:val="00F2284B"/>
    <w:rsid w:val="00F3262F"/>
    <w:rsid w:val="00F34D4C"/>
    <w:rsid w:val="00F35E62"/>
    <w:rsid w:val="00F418D6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9757A"/>
    <w:rsid w:val="00FA02C6"/>
    <w:rsid w:val="00FA27BE"/>
    <w:rsid w:val="00FA3642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20F15CAC-13E5-4F3C-8605-4F65FC25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paragraph" w:styleId="ListParagraph">
    <w:name w:val="List Paragraph"/>
    <w:basedOn w:val="Normal"/>
    <w:uiPriority w:val="34"/>
    <w:qFormat/>
    <w:rsid w:val="0071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s@olse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A728-3327-470A-A0B8-8B8DD1A1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2017-08-01T10:42:00Z</dcterms:created>
  <dcterms:modified xsi:type="dcterms:W3CDTF">2017-08-01T10:42:00Z</dcterms:modified>
</cp:coreProperties>
</file>