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D6FA0" w14:textId="77777777" w:rsidR="00E21F46" w:rsidRDefault="00E21F46" w:rsidP="00E21F46">
      <w:pPr>
        <w:spacing w:after="0" w:line="240" w:lineRule="auto"/>
        <w:jc w:val="right"/>
      </w:pPr>
      <w:r>
        <w:t>Informācija presei</w:t>
      </w:r>
    </w:p>
    <w:p w14:paraId="755FEFD0" w14:textId="61CE3F81" w:rsidR="00E21F46" w:rsidRDefault="00C91CFB" w:rsidP="00E21F46">
      <w:pPr>
        <w:spacing w:after="0" w:line="240" w:lineRule="auto"/>
        <w:jc w:val="right"/>
      </w:pPr>
      <w:r>
        <w:t>14</w:t>
      </w:r>
      <w:r w:rsidR="00936462">
        <w:t>.09</w:t>
      </w:r>
      <w:r w:rsidR="00162149">
        <w:t>.2017</w:t>
      </w:r>
    </w:p>
    <w:p w14:paraId="7C800295" w14:textId="77777777" w:rsidR="00E21F46" w:rsidRDefault="00E21F46" w:rsidP="00E21F46">
      <w:pPr>
        <w:jc w:val="center"/>
        <w:rPr>
          <w:b/>
        </w:rPr>
      </w:pPr>
    </w:p>
    <w:p w14:paraId="55F0106E" w14:textId="323414CF" w:rsidR="00E21F46" w:rsidRPr="00261157" w:rsidRDefault="00936462" w:rsidP="00261157">
      <w:pPr>
        <w:rPr>
          <w:b/>
          <w:sz w:val="28"/>
          <w:szCs w:val="28"/>
        </w:rPr>
      </w:pPr>
      <w:r>
        <w:rPr>
          <w:b/>
          <w:sz w:val="28"/>
          <w:szCs w:val="28"/>
        </w:rPr>
        <w:t>20 gados apdrošinātāji OCTA atlīdzībās izmaksājuši vairāk nekā pusmiljardu eiro</w:t>
      </w:r>
    </w:p>
    <w:p w14:paraId="59C58C19" w14:textId="5D4E5ABA" w:rsidR="00936462" w:rsidRDefault="00936462" w:rsidP="00F1514F">
      <w:pPr>
        <w:jc w:val="both"/>
        <w:rPr>
          <w:b/>
        </w:rPr>
      </w:pPr>
      <w:r w:rsidRPr="00936462">
        <w:rPr>
          <w:b/>
        </w:rPr>
        <w:t xml:space="preserve">1997.gada </w:t>
      </w:r>
      <w:r>
        <w:rPr>
          <w:b/>
        </w:rPr>
        <w:t>1.septembrī Latvijā sāka darboties</w:t>
      </w:r>
      <w:r w:rsidRPr="00936462">
        <w:rPr>
          <w:b/>
        </w:rPr>
        <w:t xml:space="preserve"> </w:t>
      </w:r>
      <w:r>
        <w:rPr>
          <w:b/>
        </w:rPr>
        <w:t>OCTA sistēma</w:t>
      </w:r>
      <w:r w:rsidRPr="00936462">
        <w:rPr>
          <w:b/>
        </w:rPr>
        <w:t xml:space="preserve">. </w:t>
      </w:r>
      <w:r>
        <w:rPr>
          <w:b/>
        </w:rPr>
        <w:t>20 gadu laikā (01.09.1997. – 01.09.2017.)</w:t>
      </w:r>
      <w:r w:rsidRPr="00936462">
        <w:rPr>
          <w:b/>
        </w:rPr>
        <w:t xml:space="preserve"> apdrošināšanas sabiedrības un LTAB kopā atlīdzībās izmaksājušas vairāk nekā 556 miljonus EUR.</w:t>
      </w:r>
    </w:p>
    <w:p w14:paraId="07E4CF60" w14:textId="09FD76C5" w:rsidR="006E217C" w:rsidRDefault="00936462" w:rsidP="00F1514F">
      <w:pPr>
        <w:jc w:val="both"/>
        <w:rPr>
          <w:color w:val="000000"/>
          <w:lang w:eastAsia="lv-LV"/>
        </w:rPr>
      </w:pPr>
      <w:r>
        <w:t>Lielākā daļa atlīdzību</w:t>
      </w:r>
      <w:r w:rsidR="006E217C">
        <w:t xml:space="preserve"> </w:t>
      </w:r>
      <w:r>
        <w:t xml:space="preserve">izmaksāti par transportlīdzekļa </w:t>
      </w:r>
      <w:r w:rsidR="006E217C">
        <w:rPr>
          <w:color w:val="000000"/>
          <w:lang w:eastAsia="lv-LV"/>
        </w:rPr>
        <w:t xml:space="preserve">bojājumiem, bojāeju un evakuācijas izdevumiem. “Ja OCTA sistēmas sākumposmā šī zaudējumu pozīcija sastādīja vairāk nekā 95% no visām izmaksātajām atlīdzībām, tad vairākos pēdējos gados tā vairs nepārsniedz 80%,” skaidro LTAB valdes priekšsēdētājs Jānis Abāšins. </w:t>
      </w:r>
    </w:p>
    <w:p w14:paraId="6BCE35EA" w14:textId="5463DD77" w:rsidR="006E217C" w:rsidRPr="006E217C" w:rsidRDefault="006E217C" w:rsidP="00F1514F">
      <w:pPr>
        <w:jc w:val="both"/>
        <w:rPr>
          <w:color w:val="000000"/>
          <w:lang w:eastAsia="lv-LV"/>
        </w:rPr>
      </w:pPr>
      <w:r>
        <w:rPr>
          <w:color w:val="000000"/>
          <w:lang w:eastAsia="lv-LV"/>
        </w:rPr>
        <w:t>“Pēdējos gados daudz lielāks atlīdzību īpatsvars tiek izmaksāts par personai nodarītajiem zaudējumiem, kā arī kompensācijās valstij un pašvaldībām. Tāpat aizvien lielāka daļa atlīdzību tiek izmaksāta par nemateriālajiem zaudējumiem,” stāsta J.Abāšins</w:t>
      </w:r>
      <w:r w:rsidR="00463942">
        <w:rPr>
          <w:color w:val="000000"/>
          <w:lang w:eastAsia="lv-LV"/>
        </w:rPr>
        <w:t xml:space="preserve">, piebilstot, ka </w:t>
      </w:r>
      <w:r w:rsidR="00C91CFB">
        <w:rPr>
          <w:color w:val="000000"/>
          <w:lang w:eastAsia="lv-LV"/>
        </w:rPr>
        <w:t xml:space="preserve">kopējais </w:t>
      </w:r>
      <w:r w:rsidR="00463942">
        <w:rPr>
          <w:color w:val="000000"/>
          <w:lang w:eastAsia="lv-LV"/>
        </w:rPr>
        <w:t xml:space="preserve">apdrošinātāju izmaksāto atlīdzību apjoms </w:t>
      </w:r>
      <w:r w:rsidR="00C91CFB">
        <w:rPr>
          <w:color w:val="000000"/>
          <w:lang w:eastAsia="lv-LV"/>
        </w:rPr>
        <w:t>pakāpeniski</w:t>
      </w:r>
      <w:r w:rsidR="00463942">
        <w:rPr>
          <w:color w:val="000000"/>
          <w:lang w:eastAsia="lv-LV"/>
        </w:rPr>
        <w:t xml:space="preserve"> palielinās un pērn sasniedza 44,6 miljonus EUR</w:t>
      </w:r>
      <w:r w:rsidR="00C91CFB">
        <w:rPr>
          <w:color w:val="000000"/>
          <w:lang w:eastAsia="lv-LV"/>
        </w:rPr>
        <w:t>.</w:t>
      </w:r>
      <w:r>
        <w:rPr>
          <w:color w:val="000000"/>
          <w:lang w:eastAsia="lv-LV"/>
        </w:rPr>
        <w:t xml:space="preserve"> </w:t>
      </w:r>
    </w:p>
    <w:p w14:paraId="3617E3F2" w14:textId="7A85074C" w:rsidR="00936462" w:rsidRDefault="00936462" w:rsidP="00057CFE">
      <w:pPr>
        <w:spacing w:after="0" w:line="240" w:lineRule="auto"/>
        <w:jc w:val="both"/>
      </w:pPr>
      <w:r w:rsidRPr="00936462">
        <w:t xml:space="preserve">OCTA likums nosaka, ka apdrošinātāji un LTAB atlīdzina zaudējumus ne tikai </w:t>
      </w:r>
      <w:r>
        <w:t xml:space="preserve">par </w:t>
      </w:r>
      <w:proofErr w:type="spellStart"/>
      <w:r w:rsidRPr="00936462">
        <w:t>CSNg</w:t>
      </w:r>
      <w:proofErr w:type="spellEnd"/>
      <w:r w:rsidRPr="00936462">
        <w:t xml:space="preserve"> rezultātā </w:t>
      </w:r>
      <w:r>
        <w:t xml:space="preserve">transportlīdzeklim nodarītajiem bojājumiem, bet arī kompensē zaudējumus </w:t>
      </w:r>
      <w:r w:rsidRPr="00936462">
        <w:t xml:space="preserve">cietušajām personām, valstij un pašvaldībām par </w:t>
      </w:r>
      <w:proofErr w:type="spellStart"/>
      <w:r w:rsidRPr="00936462">
        <w:t>CSNg</w:t>
      </w:r>
      <w:proofErr w:type="spellEnd"/>
      <w:r w:rsidRPr="00936462">
        <w:t xml:space="preserve"> cietušo ārstēšanu un rehabilitāciju, piemēram, par ātrās neatliekamās palīdzības izsaukumu un cietušā nogādāšanu uz ārstniecības iestādi, ārstēšanu un uzturēšanu slimnīcā, veselības atjaunošanu rehabilitācijas centros, ja to nozīmējis ārsts saistībā ar </w:t>
      </w:r>
      <w:proofErr w:type="spellStart"/>
      <w:r w:rsidRPr="00936462">
        <w:t>CSNg</w:t>
      </w:r>
      <w:proofErr w:type="spellEnd"/>
      <w:r w:rsidRPr="00936462">
        <w:t xml:space="preserve"> gūtajām traumām un citus ar veselības uzlabošanu saistītus izdevumus. Tāpat tiek atlīdzināti valsts un pašvaldību izdevumi, kuri saistīti ar </w:t>
      </w:r>
      <w:proofErr w:type="spellStart"/>
      <w:r w:rsidRPr="00936462">
        <w:t>CSNg</w:t>
      </w:r>
      <w:proofErr w:type="spellEnd"/>
      <w:r w:rsidRPr="00936462">
        <w:t xml:space="preserve"> cietušo slimības lapu apmaksu, pensijām un pabalstiem invalīdiem un apgādājamiem,</w:t>
      </w:r>
      <w:r>
        <w:t xml:space="preserve"> apbedīšanas pabalstiem, </w:t>
      </w:r>
      <w:r w:rsidRPr="00936462">
        <w:t>tehnisko palīglīdzekļu īri vai iegādi</w:t>
      </w:r>
      <w:r>
        <w:t xml:space="preserve">, </w:t>
      </w:r>
      <w:r w:rsidRPr="00936462">
        <w:t>ceļu, ēku un videi nodarītajiem bojājumiem</w:t>
      </w:r>
      <w:r>
        <w:t xml:space="preserve">. </w:t>
      </w:r>
    </w:p>
    <w:p w14:paraId="3D4E914E" w14:textId="77777777" w:rsidR="00936462" w:rsidRDefault="00936462" w:rsidP="00057CFE">
      <w:pPr>
        <w:spacing w:after="0" w:line="240" w:lineRule="auto"/>
        <w:jc w:val="both"/>
      </w:pPr>
    </w:p>
    <w:p w14:paraId="2E1B253E" w14:textId="4D908BC3" w:rsidR="00057CFE" w:rsidRDefault="00057CFE" w:rsidP="00057CFE">
      <w:pPr>
        <w:spacing w:after="0" w:line="240" w:lineRule="auto"/>
        <w:jc w:val="both"/>
      </w:pPr>
      <w:r w:rsidRPr="00C65CB9">
        <w:t xml:space="preserve">1997.gadā Latvijā tika ieviesta OCTA sistēma, kuras mērķis ir nodrošināt ceļu satiksmes negadījumā cietušo trešo personu interešu aizsardzību Latvijā un Zaļās kartes dalībvalstīs. </w:t>
      </w:r>
      <w:r w:rsidRPr="00256127">
        <w:t xml:space="preserve">Sistēmas sekmīgākai darbības nodrošināšanai </w:t>
      </w:r>
      <w:r>
        <w:t>ir</w:t>
      </w:r>
      <w:r w:rsidRPr="00256127">
        <w:t xml:space="preserve"> izveidots </w:t>
      </w:r>
      <w:r>
        <w:t>LTAB</w:t>
      </w:r>
      <w:r w:rsidRPr="00C65CB9">
        <w:t xml:space="preserve">, </w:t>
      </w:r>
      <w:r>
        <w:t xml:space="preserve">kurā </w:t>
      </w:r>
      <w:r w:rsidRPr="00C65CB9">
        <w:t xml:space="preserve">apvienojušās apdrošināšanas sabiedrības, kurām ir tiesības veikt </w:t>
      </w:r>
      <w:r>
        <w:t>OCTA</w:t>
      </w:r>
      <w:r w:rsidRPr="00C65CB9">
        <w:t xml:space="preserve"> apdrošināšanu Latvijā</w:t>
      </w:r>
      <w:r>
        <w:t xml:space="preserve"> – AAS “Balta”, AAS “Baltijas Apdrošināšanas Nams”, AAS “</w:t>
      </w:r>
      <w:r w:rsidRPr="00256127">
        <w:t>BTA Baltic Insurance Company</w:t>
      </w:r>
      <w:r>
        <w:t>”, “Compensa Vienna Insurance Group”</w:t>
      </w:r>
      <w:r w:rsidRPr="00256127">
        <w:t xml:space="preserve"> ADB Latvijas filiāle</w:t>
      </w:r>
      <w:r>
        <w:t>, “ERGO Insurance”</w:t>
      </w:r>
      <w:r w:rsidRPr="00256127">
        <w:t xml:space="preserve"> SE Latvijas filiāle</w:t>
      </w:r>
      <w:r>
        <w:t xml:space="preserve">, </w:t>
      </w:r>
      <w:r w:rsidRPr="00972764">
        <w:t>ADB “Gjensidige” Latvijas filiāle,</w:t>
      </w:r>
      <w:r>
        <w:t xml:space="preserve"> “If P&amp;C Insurance”</w:t>
      </w:r>
      <w:r w:rsidRPr="00256127">
        <w:t xml:space="preserve"> AS Latvijas filiāle</w:t>
      </w:r>
      <w:r>
        <w:t xml:space="preserve">, </w:t>
      </w:r>
      <w:r w:rsidRPr="00CF25BB">
        <w:t>“InterRisk Vienna Insurance Group” AAS</w:t>
      </w:r>
      <w:r>
        <w:t>, “Seesam Insurance”</w:t>
      </w:r>
      <w:r w:rsidRPr="00256127">
        <w:t xml:space="preserve"> AS Latvijas filiāle</w:t>
      </w:r>
      <w:r>
        <w:t xml:space="preserve"> un “Swedbank P&amp;C Insurance”</w:t>
      </w:r>
      <w:r w:rsidRPr="00256127">
        <w:t xml:space="preserve"> AS Latvijas filiāle</w:t>
      </w:r>
      <w:r>
        <w:t>.</w:t>
      </w:r>
    </w:p>
    <w:p w14:paraId="03E73E53" w14:textId="77777777" w:rsidR="00E21F46" w:rsidRDefault="00E21F46" w:rsidP="00E21F46"/>
    <w:p w14:paraId="594EAC53" w14:textId="77777777" w:rsidR="00E21F46" w:rsidRPr="00057CFE" w:rsidRDefault="00E21F46" w:rsidP="00057CFE">
      <w:pPr>
        <w:spacing w:after="0" w:line="240" w:lineRule="auto"/>
        <w:jc w:val="right"/>
        <w:rPr>
          <w:i/>
        </w:rPr>
      </w:pPr>
      <w:r w:rsidRPr="00057CFE">
        <w:rPr>
          <w:i/>
        </w:rPr>
        <w:t xml:space="preserve">Informāciju sagatavoja: </w:t>
      </w:r>
    </w:p>
    <w:p w14:paraId="3A35D281" w14:textId="77777777" w:rsidR="00E21F46" w:rsidRPr="00057CFE" w:rsidRDefault="00E21F46" w:rsidP="00057CFE">
      <w:pPr>
        <w:spacing w:after="0" w:line="240" w:lineRule="auto"/>
        <w:jc w:val="right"/>
        <w:rPr>
          <w:i/>
        </w:rPr>
      </w:pPr>
      <w:r w:rsidRPr="00057CFE">
        <w:rPr>
          <w:i/>
        </w:rPr>
        <w:t>LTAB sabiedrisko attiecību konsultants</w:t>
      </w:r>
    </w:p>
    <w:p w14:paraId="3DD97D59" w14:textId="77777777" w:rsidR="00E21F46" w:rsidRPr="00057CFE" w:rsidRDefault="00E21F46" w:rsidP="00057CFE">
      <w:pPr>
        <w:spacing w:after="0" w:line="240" w:lineRule="auto"/>
        <w:jc w:val="right"/>
        <w:rPr>
          <w:i/>
        </w:rPr>
      </w:pPr>
      <w:r w:rsidRPr="00057CFE">
        <w:rPr>
          <w:i/>
        </w:rPr>
        <w:t>Gints Lazdiņš</w:t>
      </w:r>
    </w:p>
    <w:p w14:paraId="5BAA9B0B" w14:textId="77777777" w:rsidR="00E21F46" w:rsidRPr="00057CFE" w:rsidRDefault="00E21F46" w:rsidP="00057CFE">
      <w:pPr>
        <w:spacing w:after="0" w:line="240" w:lineRule="auto"/>
        <w:jc w:val="right"/>
        <w:rPr>
          <w:i/>
        </w:rPr>
      </w:pPr>
      <w:r w:rsidRPr="00057CFE">
        <w:rPr>
          <w:i/>
        </w:rPr>
        <w:t xml:space="preserve">Tālr: +371 29442282 </w:t>
      </w:r>
    </w:p>
    <w:p w14:paraId="3B0ADB6C" w14:textId="77777777" w:rsidR="00E21F46" w:rsidRPr="00057CFE" w:rsidRDefault="00E21F46" w:rsidP="00057CFE">
      <w:pPr>
        <w:spacing w:after="0" w:line="240" w:lineRule="auto"/>
        <w:jc w:val="right"/>
        <w:rPr>
          <w:i/>
        </w:rPr>
      </w:pPr>
      <w:r w:rsidRPr="00057CFE">
        <w:rPr>
          <w:i/>
        </w:rPr>
        <w:t>E-pasts: gints@olsen.lv</w:t>
      </w:r>
    </w:p>
    <w:p w14:paraId="2A90A3B0" w14:textId="77777777" w:rsidR="00E21F46" w:rsidRDefault="00E21F46" w:rsidP="00E21F46">
      <w:pPr>
        <w:spacing w:after="0" w:line="240" w:lineRule="auto"/>
      </w:pPr>
    </w:p>
    <w:p w14:paraId="09E46E88" w14:textId="3F0BD1B0" w:rsidR="00617E51" w:rsidRDefault="00617E51" w:rsidP="00E21F46"/>
    <w:p w14:paraId="43780FEC" w14:textId="7007B968" w:rsidR="005D4283" w:rsidRDefault="005D4283" w:rsidP="00E21F46"/>
    <w:p w14:paraId="7360C177" w14:textId="61EAE7A4" w:rsidR="005D4283" w:rsidRDefault="005D4283" w:rsidP="00E21F46"/>
    <w:p w14:paraId="0BC570B3" w14:textId="308128A5" w:rsidR="005D4283" w:rsidRDefault="005D4283" w:rsidP="00E21F46"/>
    <w:p w14:paraId="6600FC75" w14:textId="51751E9B" w:rsidR="005D4283" w:rsidRPr="00E21F46" w:rsidRDefault="005D4283" w:rsidP="00E21F46">
      <w:bookmarkStart w:id="0" w:name="_GoBack"/>
      <w:r>
        <w:rPr>
          <w:noProof/>
          <w:lang w:eastAsia="lv-LV"/>
        </w:rPr>
        <w:lastRenderedPageBreak/>
        <w:drawing>
          <wp:inline distT="0" distB="0" distL="0" distR="0" wp14:anchorId="152411C1" wp14:editId="5F877E36">
            <wp:extent cx="6120765" cy="86563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CTA infografika 2017-0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D4283" w:rsidRPr="00E21F46" w:rsidSect="000533E0">
      <w:headerReference w:type="default" r:id="rId8"/>
      <w:footerReference w:type="default" r:id="rId9"/>
      <w:pgSz w:w="11906" w:h="16838"/>
      <w:pgMar w:top="1440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D17E1" w14:textId="77777777" w:rsidR="00865218" w:rsidRDefault="00865218" w:rsidP="00C62AF7">
      <w:pPr>
        <w:spacing w:after="0" w:line="240" w:lineRule="auto"/>
      </w:pPr>
      <w:r>
        <w:separator/>
      </w:r>
    </w:p>
  </w:endnote>
  <w:endnote w:type="continuationSeparator" w:id="0">
    <w:p w14:paraId="5B5A421B" w14:textId="77777777" w:rsidR="00865218" w:rsidRDefault="00865218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DC919" w14:textId="77777777" w:rsidR="00E9038F" w:rsidRDefault="00E9038F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9E8FD" wp14:editId="0C0C2681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59E88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770868B8" w14:textId="77777777" w:rsidR="00E9038F" w:rsidRDefault="00E9038F" w:rsidP="00C62AF7">
    <w:pPr>
      <w:pStyle w:val="Footer"/>
      <w:jc w:val="center"/>
    </w:pPr>
    <w:r>
      <w:object w:dxaOrig="9042" w:dyaOrig="462" w14:anchorId="492DC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5pt;height:19.5pt">
          <v:imagedata r:id="rId1" o:title=""/>
        </v:shape>
        <o:OLEObject Type="Embed" ProgID="CorelDraw.Graphic.17" ShapeID="_x0000_i1026" DrawAspect="Content" ObjectID="_1566906575" r:id="rId2"/>
      </w:object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652BA" w14:textId="77777777" w:rsidR="00865218" w:rsidRDefault="00865218" w:rsidP="00C62AF7">
      <w:pPr>
        <w:spacing w:after="0" w:line="240" w:lineRule="auto"/>
      </w:pPr>
      <w:r>
        <w:separator/>
      </w:r>
    </w:p>
  </w:footnote>
  <w:footnote w:type="continuationSeparator" w:id="0">
    <w:p w14:paraId="28D90CF7" w14:textId="77777777" w:rsidR="00865218" w:rsidRDefault="00865218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85C2B" w14:textId="77777777" w:rsidR="00E9038F" w:rsidRDefault="00E9038F">
    <w:pPr>
      <w:pStyle w:val="Header"/>
    </w:pPr>
    <w:r>
      <w:object w:dxaOrig="3027" w:dyaOrig="1080" w14:anchorId="3751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1.5pt;height:54pt">
          <v:imagedata r:id="rId1" o:title=""/>
        </v:shape>
        <o:OLEObject Type="Embed" ProgID="CorelDraw.Graphic.17" ShapeID="_x0000_i1025" DrawAspect="Content" ObjectID="_1566906574" r:id="rId2"/>
      </w:object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13C1F"/>
    <w:rsid w:val="000146EA"/>
    <w:rsid w:val="00040165"/>
    <w:rsid w:val="000533E0"/>
    <w:rsid w:val="00057CFE"/>
    <w:rsid w:val="00092E79"/>
    <w:rsid w:val="00094687"/>
    <w:rsid w:val="000B1DBA"/>
    <w:rsid w:val="00103B45"/>
    <w:rsid w:val="0011042D"/>
    <w:rsid w:val="00153B22"/>
    <w:rsid w:val="00162149"/>
    <w:rsid w:val="00171015"/>
    <w:rsid w:val="00172BBC"/>
    <w:rsid w:val="001740B2"/>
    <w:rsid w:val="00196DE3"/>
    <w:rsid w:val="001B1813"/>
    <w:rsid w:val="001C65E0"/>
    <w:rsid w:val="001D3B28"/>
    <w:rsid w:val="001D6AEF"/>
    <w:rsid w:val="001E57C6"/>
    <w:rsid w:val="00221376"/>
    <w:rsid w:val="00250F1C"/>
    <w:rsid w:val="00261157"/>
    <w:rsid w:val="00266993"/>
    <w:rsid w:val="0027402E"/>
    <w:rsid w:val="002D5F23"/>
    <w:rsid w:val="002F353B"/>
    <w:rsid w:val="003425AA"/>
    <w:rsid w:val="00362517"/>
    <w:rsid w:val="00382C5D"/>
    <w:rsid w:val="003B5F8E"/>
    <w:rsid w:val="003D14B9"/>
    <w:rsid w:val="003F0B61"/>
    <w:rsid w:val="0040102A"/>
    <w:rsid w:val="00403AB9"/>
    <w:rsid w:val="00412360"/>
    <w:rsid w:val="00424057"/>
    <w:rsid w:val="00463942"/>
    <w:rsid w:val="00471AE6"/>
    <w:rsid w:val="00472967"/>
    <w:rsid w:val="004A2480"/>
    <w:rsid w:val="004C32E0"/>
    <w:rsid w:val="004D2161"/>
    <w:rsid w:val="00506CDA"/>
    <w:rsid w:val="00520799"/>
    <w:rsid w:val="00537A74"/>
    <w:rsid w:val="00590ADB"/>
    <w:rsid w:val="005B0F55"/>
    <w:rsid w:val="005B15E8"/>
    <w:rsid w:val="005D4283"/>
    <w:rsid w:val="005E69F5"/>
    <w:rsid w:val="00617E51"/>
    <w:rsid w:val="006610B2"/>
    <w:rsid w:val="006A6493"/>
    <w:rsid w:val="006B768B"/>
    <w:rsid w:val="006E217C"/>
    <w:rsid w:val="006E75CA"/>
    <w:rsid w:val="00713F2D"/>
    <w:rsid w:val="008278BE"/>
    <w:rsid w:val="00850CCE"/>
    <w:rsid w:val="00865218"/>
    <w:rsid w:val="00881B76"/>
    <w:rsid w:val="008D1434"/>
    <w:rsid w:val="00936462"/>
    <w:rsid w:val="009605DD"/>
    <w:rsid w:val="00964DE9"/>
    <w:rsid w:val="00966515"/>
    <w:rsid w:val="0097040E"/>
    <w:rsid w:val="009722A2"/>
    <w:rsid w:val="00973D97"/>
    <w:rsid w:val="00987FC2"/>
    <w:rsid w:val="00A122A4"/>
    <w:rsid w:val="00A167B2"/>
    <w:rsid w:val="00A71459"/>
    <w:rsid w:val="00A85B1F"/>
    <w:rsid w:val="00A9616D"/>
    <w:rsid w:val="00AA11DB"/>
    <w:rsid w:val="00AC5BF5"/>
    <w:rsid w:val="00AE1616"/>
    <w:rsid w:val="00AE3928"/>
    <w:rsid w:val="00B31BA0"/>
    <w:rsid w:val="00B50CBA"/>
    <w:rsid w:val="00BB784E"/>
    <w:rsid w:val="00BC25C6"/>
    <w:rsid w:val="00BC6C58"/>
    <w:rsid w:val="00BE1131"/>
    <w:rsid w:val="00BF4CE5"/>
    <w:rsid w:val="00C12FDC"/>
    <w:rsid w:val="00C62AF7"/>
    <w:rsid w:val="00C80E9A"/>
    <w:rsid w:val="00C91CFB"/>
    <w:rsid w:val="00CC1D83"/>
    <w:rsid w:val="00D01457"/>
    <w:rsid w:val="00D05616"/>
    <w:rsid w:val="00D05A63"/>
    <w:rsid w:val="00D356F9"/>
    <w:rsid w:val="00E21F46"/>
    <w:rsid w:val="00E23A71"/>
    <w:rsid w:val="00E537C3"/>
    <w:rsid w:val="00E6367A"/>
    <w:rsid w:val="00E730A3"/>
    <w:rsid w:val="00E8391D"/>
    <w:rsid w:val="00E9038F"/>
    <w:rsid w:val="00E91AD3"/>
    <w:rsid w:val="00EC201D"/>
    <w:rsid w:val="00F1514F"/>
    <w:rsid w:val="00F2284B"/>
    <w:rsid w:val="00F3262F"/>
    <w:rsid w:val="00F72968"/>
    <w:rsid w:val="00F93E1C"/>
    <w:rsid w:val="00FB2D15"/>
    <w:rsid w:val="00FB4329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42033A"/>
  <w15:docId w15:val="{A2D4338E-043C-45F8-BE0A-0C0CDE99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A2BD5-3D8F-482A-87B0-703B427E0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1701</Words>
  <Characters>970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Agris Daukste</cp:lastModifiedBy>
  <cp:revision>2</cp:revision>
  <dcterms:created xsi:type="dcterms:W3CDTF">2017-09-14T12:03:00Z</dcterms:created>
  <dcterms:modified xsi:type="dcterms:W3CDTF">2017-09-14T12:03:00Z</dcterms:modified>
</cp:coreProperties>
</file>