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1494A1C3" w:rsidR="00E21F46" w:rsidRPr="00C367FD" w:rsidRDefault="00C367FD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представителей СМИ</w:t>
      </w:r>
    </w:p>
    <w:p w14:paraId="755FEFD0" w14:textId="571D22A2" w:rsidR="00E21F46" w:rsidRDefault="002F2970" w:rsidP="00E21F46">
      <w:pPr>
        <w:spacing w:after="0" w:line="240" w:lineRule="auto"/>
        <w:jc w:val="right"/>
      </w:pPr>
      <w:r>
        <w:t>01.11</w:t>
      </w:r>
      <w:r w:rsidR="00162149">
        <w:t>.2017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34C5BBC8" w14:textId="3B6CF555" w:rsidR="00C367FD" w:rsidRPr="00C367FD" w:rsidRDefault="00AB1489" w:rsidP="00AB1489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 первые 9 месяцев этого года с</w:t>
      </w:r>
      <w:r w:rsidR="00C367FD">
        <w:rPr>
          <w:b/>
          <w:sz w:val="28"/>
          <w:szCs w:val="28"/>
          <w:lang w:val="ru-RU"/>
        </w:rPr>
        <w:t>траховщики отрасли ОСТА в виде компенсаций выплатили больше</w:t>
      </w:r>
    </w:p>
    <w:p w14:paraId="113DFEDD" w14:textId="6447EB30" w:rsidR="00C367FD" w:rsidRPr="00C367FD" w:rsidRDefault="00C367FD" w:rsidP="00C40F73">
      <w:pPr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  <w:lang w:val="ru-RU"/>
        </w:rPr>
        <w:t xml:space="preserve">Сумма выплаченных в отрасли ОСТА в первые </w:t>
      </w:r>
      <w:r w:rsidRPr="00C367FD">
        <w:rPr>
          <w:b/>
          <w:sz w:val="24"/>
          <w:szCs w:val="24"/>
          <w:lang w:val="ru-RU"/>
        </w:rPr>
        <w:t xml:space="preserve">9 месяцев этого года компенсаций </w:t>
      </w:r>
      <w:r>
        <w:rPr>
          <w:b/>
          <w:sz w:val="24"/>
          <w:szCs w:val="24"/>
          <w:lang w:val="ru-RU"/>
        </w:rPr>
        <w:t>составила 34,59 миллионов евро, что на 5,1% больше, чем за тот же период прошлого года. В свою очередь, объем заработанных премий достиг 36,25 миллионов евро, что на 1,94% больше, чем за первые 9 месяцев 2016 года.</w:t>
      </w:r>
    </w:p>
    <w:bookmarkEnd w:id="0"/>
    <w:p w14:paraId="77CF4640" w14:textId="5E0C8668" w:rsidR="00C367FD" w:rsidRPr="00C367FD" w:rsidRDefault="00C367FD" w:rsidP="00C40F7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«Убытки отрасли ОСТА за первые 9 месяцев этого года, по сравнению с тем же периодом прошлого года, уменьшились на 21%, однако объем убытков все еще составляет больше 7 миллионов евро. Уменьшение убытков связано, главным образом, с улучшение</w:t>
      </w:r>
      <w:r w:rsidR="00AB1489">
        <w:rPr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 эффективности работы страховщиков, а также приростом заработанных премий», - поясняет Янис Абашин, председатель правления Латвийского Бюро страховщиков транспортных средств.</w:t>
      </w:r>
    </w:p>
    <w:p w14:paraId="1A494A2D" w14:textId="4278F799" w:rsidR="00C40F73" w:rsidRPr="00AB1489" w:rsidRDefault="00C367FD" w:rsidP="00C40F73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первые 9 месяцев 2017 года страховщикам было подано в общей сложности 33 446 </w:t>
      </w:r>
      <w:r w:rsidR="00AB1489">
        <w:rPr>
          <w:sz w:val="24"/>
          <w:szCs w:val="24"/>
          <w:lang w:val="ru-RU"/>
        </w:rPr>
        <w:t>заявлений об убытках</w:t>
      </w:r>
      <w:r>
        <w:rPr>
          <w:sz w:val="24"/>
          <w:szCs w:val="24"/>
          <w:lang w:val="ru-RU"/>
        </w:rPr>
        <w:t xml:space="preserve"> на общую сумму 32,96 миллионов евро, что на 4,5% больше, чем за первые 9 месяцев 2016 года. В свою очередь, </w:t>
      </w:r>
      <w:r w:rsidR="00AB1489">
        <w:rPr>
          <w:sz w:val="24"/>
          <w:szCs w:val="24"/>
          <w:lang w:val="ru-RU"/>
        </w:rPr>
        <w:t xml:space="preserve">в виде страховых компенсаций в этот период за прошлый и нынешний год было выплачено в общей сложности 34,59 миллионов евро, что на 5,1% больше, чем за первые 9 месяцев 2016 года. «Следует отметить стремительное увеличение объема средней компенсации, составившей за 9 месяцев 2017 года 942 евро. По сравнению с первыми 9 месяцами 2016 года, средняя компенсация увеличилась на 4,6%», - информирует Я. Абашин. </w:t>
      </w:r>
    </w:p>
    <w:p w14:paraId="4A7E4A27" w14:textId="77777777" w:rsidR="00AB1489" w:rsidRPr="00AB1489" w:rsidRDefault="00AB1489" w:rsidP="00AB1489">
      <w:pPr>
        <w:jc w:val="both"/>
        <w:rPr>
          <w:sz w:val="24"/>
          <w:szCs w:val="24"/>
        </w:rPr>
      </w:pPr>
      <w:r w:rsidRPr="00AB1489">
        <w:rPr>
          <w:color w:val="000000"/>
          <w:sz w:val="24"/>
          <w:szCs w:val="24"/>
          <w:lang w:val="ru-RU"/>
        </w:rPr>
        <w:t xml:space="preserve">В 1997 году в Латвии была введена система ОСТА, цель которой обеспечить защиту интересов третьих лиц, пострадавших в дорожном движении как в Латвии, так в странах-участницах Зеленой карты. Для обеспечения успешной деятельности системы было создано Латвийское Бюро страховщиков Транспортных средств (LTAB), которое объединяет страховые общества, обладающие правом производить страхование ОСТА в Латвии – </w:t>
      </w:r>
      <w:r w:rsidRPr="00AB1489">
        <w:rPr>
          <w:sz w:val="24"/>
          <w:szCs w:val="24"/>
        </w:rPr>
        <w:t xml:space="preserve">AAS “Balta”, AAS “Baltijas Apdrošināšanas Nams”, AAS “BTA </w:t>
      </w:r>
      <w:proofErr w:type="spellStart"/>
      <w:r w:rsidRPr="00AB1489">
        <w:rPr>
          <w:sz w:val="24"/>
          <w:szCs w:val="24"/>
        </w:rPr>
        <w:t>Baltic</w:t>
      </w:r>
      <w:proofErr w:type="spellEnd"/>
      <w:r w:rsidRPr="00AB1489">
        <w:rPr>
          <w:sz w:val="24"/>
          <w:szCs w:val="24"/>
        </w:rPr>
        <w:t xml:space="preserve"> </w:t>
      </w:r>
      <w:proofErr w:type="spellStart"/>
      <w:r w:rsidRPr="00AB1489">
        <w:rPr>
          <w:sz w:val="24"/>
          <w:szCs w:val="24"/>
        </w:rPr>
        <w:t>Insurance</w:t>
      </w:r>
      <w:proofErr w:type="spellEnd"/>
      <w:r w:rsidRPr="00AB1489">
        <w:rPr>
          <w:sz w:val="24"/>
          <w:szCs w:val="24"/>
        </w:rPr>
        <w:t xml:space="preserve"> </w:t>
      </w:r>
      <w:proofErr w:type="spellStart"/>
      <w:r w:rsidRPr="00AB1489">
        <w:rPr>
          <w:sz w:val="24"/>
          <w:szCs w:val="24"/>
        </w:rPr>
        <w:t>Company</w:t>
      </w:r>
      <w:proofErr w:type="spellEnd"/>
      <w:r w:rsidRPr="00AB1489">
        <w:rPr>
          <w:sz w:val="24"/>
          <w:szCs w:val="24"/>
        </w:rPr>
        <w:t xml:space="preserve">”, </w:t>
      </w:r>
      <w:r w:rsidRPr="00AB1489">
        <w:rPr>
          <w:color w:val="000000"/>
          <w:sz w:val="24"/>
          <w:szCs w:val="24"/>
          <w:lang w:val="ru-RU"/>
        </w:rPr>
        <w:t xml:space="preserve">латвийский филиал </w:t>
      </w:r>
      <w:r w:rsidRPr="00AB1489">
        <w:rPr>
          <w:sz w:val="24"/>
          <w:szCs w:val="24"/>
        </w:rPr>
        <w:t>ADB “</w:t>
      </w:r>
      <w:proofErr w:type="spellStart"/>
      <w:r w:rsidRPr="00AB1489">
        <w:rPr>
          <w:sz w:val="24"/>
          <w:szCs w:val="24"/>
        </w:rPr>
        <w:t>Compensa</w:t>
      </w:r>
      <w:proofErr w:type="spellEnd"/>
      <w:r w:rsidRPr="00AB1489">
        <w:rPr>
          <w:sz w:val="24"/>
          <w:szCs w:val="24"/>
        </w:rPr>
        <w:t xml:space="preserve"> </w:t>
      </w:r>
      <w:proofErr w:type="spellStart"/>
      <w:r w:rsidRPr="00AB1489">
        <w:rPr>
          <w:sz w:val="24"/>
          <w:szCs w:val="24"/>
        </w:rPr>
        <w:t>Vienna</w:t>
      </w:r>
      <w:proofErr w:type="spellEnd"/>
      <w:r w:rsidRPr="00AB1489">
        <w:rPr>
          <w:sz w:val="24"/>
          <w:szCs w:val="24"/>
        </w:rPr>
        <w:t xml:space="preserve"> </w:t>
      </w:r>
      <w:proofErr w:type="spellStart"/>
      <w:r w:rsidRPr="00AB1489">
        <w:rPr>
          <w:sz w:val="24"/>
          <w:szCs w:val="24"/>
        </w:rPr>
        <w:t>Insurance</w:t>
      </w:r>
      <w:proofErr w:type="spellEnd"/>
      <w:r w:rsidRPr="00AB1489">
        <w:rPr>
          <w:sz w:val="24"/>
          <w:szCs w:val="24"/>
        </w:rPr>
        <w:t xml:space="preserve"> </w:t>
      </w:r>
      <w:proofErr w:type="spellStart"/>
      <w:r w:rsidRPr="00AB1489">
        <w:rPr>
          <w:sz w:val="24"/>
          <w:szCs w:val="24"/>
        </w:rPr>
        <w:t>Group</w:t>
      </w:r>
      <w:proofErr w:type="spellEnd"/>
      <w:r w:rsidRPr="00AB1489">
        <w:rPr>
          <w:sz w:val="24"/>
          <w:szCs w:val="24"/>
        </w:rPr>
        <w:t xml:space="preserve">”, </w:t>
      </w:r>
      <w:r w:rsidRPr="00AB1489">
        <w:rPr>
          <w:color w:val="000000"/>
          <w:sz w:val="24"/>
          <w:szCs w:val="24"/>
          <w:lang w:val="ru-RU"/>
        </w:rPr>
        <w:t xml:space="preserve">латвийский филиал </w:t>
      </w:r>
      <w:r w:rsidRPr="00AB1489">
        <w:rPr>
          <w:sz w:val="24"/>
          <w:szCs w:val="24"/>
        </w:rPr>
        <w:t xml:space="preserve">SE “ERGO Insurance”, </w:t>
      </w:r>
      <w:r w:rsidRPr="00AB1489">
        <w:rPr>
          <w:color w:val="000000"/>
          <w:sz w:val="24"/>
          <w:szCs w:val="24"/>
          <w:lang w:val="ru-RU"/>
        </w:rPr>
        <w:t xml:space="preserve">латвийский филиал </w:t>
      </w:r>
      <w:r w:rsidRPr="00AB1489">
        <w:rPr>
          <w:sz w:val="24"/>
          <w:szCs w:val="24"/>
        </w:rPr>
        <w:t xml:space="preserve">ADB “Gjensidige”, </w:t>
      </w:r>
      <w:r w:rsidRPr="00AB1489">
        <w:rPr>
          <w:color w:val="000000"/>
          <w:sz w:val="24"/>
          <w:szCs w:val="24"/>
          <w:lang w:val="ru-RU"/>
        </w:rPr>
        <w:t xml:space="preserve">латвийский филиал </w:t>
      </w:r>
      <w:r w:rsidRPr="00AB1489">
        <w:rPr>
          <w:sz w:val="24"/>
          <w:szCs w:val="24"/>
        </w:rPr>
        <w:t>AS “</w:t>
      </w:r>
      <w:proofErr w:type="spellStart"/>
      <w:r w:rsidRPr="00AB1489">
        <w:rPr>
          <w:sz w:val="24"/>
          <w:szCs w:val="24"/>
        </w:rPr>
        <w:t>If</w:t>
      </w:r>
      <w:proofErr w:type="spellEnd"/>
      <w:r w:rsidRPr="00AB1489">
        <w:rPr>
          <w:sz w:val="24"/>
          <w:szCs w:val="24"/>
        </w:rPr>
        <w:t xml:space="preserve"> P&amp;C </w:t>
      </w:r>
      <w:proofErr w:type="spellStart"/>
      <w:r w:rsidRPr="00AB1489">
        <w:rPr>
          <w:sz w:val="24"/>
          <w:szCs w:val="24"/>
        </w:rPr>
        <w:t>Insurance</w:t>
      </w:r>
      <w:proofErr w:type="spellEnd"/>
      <w:r w:rsidRPr="00AB1489">
        <w:rPr>
          <w:sz w:val="24"/>
          <w:szCs w:val="24"/>
        </w:rPr>
        <w:t xml:space="preserve">”, “InterRisk </w:t>
      </w:r>
      <w:proofErr w:type="spellStart"/>
      <w:r w:rsidRPr="00AB1489">
        <w:rPr>
          <w:sz w:val="24"/>
          <w:szCs w:val="24"/>
        </w:rPr>
        <w:t>Vienna</w:t>
      </w:r>
      <w:proofErr w:type="spellEnd"/>
      <w:r w:rsidRPr="00AB1489">
        <w:rPr>
          <w:sz w:val="24"/>
          <w:szCs w:val="24"/>
        </w:rPr>
        <w:t xml:space="preserve"> </w:t>
      </w:r>
      <w:proofErr w:type="spellStart"/>
      <w:r w:rsidRPr="00AB1489">
        <w:rPr>
          <w:sz w:val="24"/>
          <w:szCs w:val="24"/>
        </w:rPr>
        <w:t>Insurance</w:t>
      </w:r>
      <w:proofErr w:type="spellEnd"/>
      <w:r w:rsidRPr="00AB1489">
        <w:rPr>
          <w:sz w:val="24"/>
          <w:szCs w:val="24"/>
        </w:rPr>
        <w:t xml:space="preserve"> </w:t>
      </w:r>
      <w:proofErr w:type="spellStart"/>
      <w:r w:rsidRPr="00AB1489">
        <w:rPr>
          <w:sz w:val="24"/>
          <w:szCs w:val="24"/>
        </w:rPr>
        <w:t>Group</w:t>
      </w:r>
      <w:proofErr w:type="spellEnd"/>
      <w:r w:rsidRPr="00AB1489">
        <w:rPr>
          <w:sz w:val="24"/>
          <w:szCs w:val="24"/>
        </w:rPr>
        <w:t xml:space="preserve">” AAS, </w:t>
      </w:r>
      <w:r w:rsidRPr="00AB1489">
        <w:rPr>
          <w:color w:val="000000"/>
          <w:sz w:val="24"/>
          <w:szCs w:val="24"/>
          <w:lang w:val="ru-RU"/>
        </w:rPr>
        <w:t xml:space="preserve">латвийский филиал </w:t>
      </w:r>
      <w:r w:rsidRPr="00AB1489">
        <w:rPr>
          <w:sz w:val="24"/>
          <w:szCs w:val="24"/>
        </w:rPr>
        <w:t>AS “</w:t>
      </w:r>
      <w:proofErr w:type="spellStart"/>
      <w:r w:rsidRPr="00AB1489">
        <w:rPr>
          <w:sz w:val="24"/>
          <w:szCs w:val="24"/>
        </w:rPr>
        <w:t>Seesam</w:t>
      </w:r>
      <w:proofErr w:type="spellEnd"/>
      <w:r w:rsidRPr="00AB1489">
        <w:rPr>
          <w:sz w:val="24"/>
          <w:szCs w:val="24"/>
        </w:rPr>
        <w:t xml:space="preserve"> </w:t>
      </w:r>
      <w:proofErr w:type="spellStart"/>
      <w:r w:rsidRPr="00AB1489">
        <w:rPr>
          <w:sz w:val="24"/>
          <w:szCs w:val="24"/>
        </w:rPr>
        <w:t>Insurance</w:t>
      </w:r>
      <w:proofErr w:type="spellEnd"/>
      <w:r w:rsidRPr="00AB1489">
        <w:rPr>
          <w:sz w:val="24"/>
          <w:szCs w:val="24"/>
        </w:rPr>
        <w:t xml:space="preserve">” </w:t>
      </w:r>
      <w:r w:rsidRPr="00AB1489">
        <w:rPr>
          <w:sz w:val="24"/>
          <w:szCs w:val="24"/>
          <w:lang w:val="ru-RU"/>
        </w:rPr>
        <w:t xml:space="preserve">и </w:t>
      </w:r>
      <w:r w:rsidRPr="00AB1489">
        <w:rPr>
          <w:color w:val="000000"/>
          <w:sz w:val="24"/>
          <w:szCs w:val="24"/>
          <w:lang w:val="ru-RU"/>
        </w:rPr>
        <w:t xml:space="preserve">латвийский филиал </w:t>
      </w:r>
      <w:r w:rsidRPr="00AB1489">
        <w:rPr>
          <w:sz w:val="24"/>
          <w:szCs w:val="24"/>
        </w:rPr>
        <w:t>AS “Swedbank P&amp;C Insurance”.</w:t>
      </w:r>
    </w:p>
    <w:p w14:paraId="69EF9F3E" w14:textId="77777777" w:rsidR="00AB1489" w:rsidRDefault="00AB1489" w:rsidP="00AB1489">
      <w:pPr>
        <w:spacing w:after="0" w:line="240" w:lineRule="auto"/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Дополнительная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информация</w:t>
      </w:r>
      <w:proofErr w:type="spellEnd"/>
    </w:p>
    <w:p w14:paraId="28BD0F00" w14:textId="77777777" w:rsidR="00AB1489" w:rsidRDefault="00AB1489" w:rsidP="00AB1489">
      <w:pPr>
        <w:spacing w:after="0" w:line="240" w:lineRule="auto"/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Консультант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связям</w:t>
      </w:r>
      <w:proofErr w:type="spellEnd"/>
      <w:r>
        <w:rPr>
          <w:i/>
          <w:iCs/>
          <w:sz w:val="20"/>
          <w:szCs w:val="20"/>
        </w:rPr>
        <w:t xml:space="preserve"> с </w:t>
      </w:r>
      <w:proofErr w:type="spellStart"/>
      <w:r>
        <w:rPr>
          <w:i/>
          <w:iCs/>
          <w:sz w:val="20"/>
          <w:szCs w:val="20"/>
        </w:rPr>
        <w:t>общественностью</w:t>
      </w:r>
      <w:proofErr w:type="spellEnd"/>
      <w:r>
        <w:rPr>
          <w:i/>
          <w:iCs/>
          <w:sz w:val="20"/>
          <w:szCs w:val="20"/>
        </w:rPr>
        <w:t xml:space="preserve"> LTAB </w:t>
      </w:r>
    </w:p>
    <w:p w14:paraId="77F5480A" w14:textId="77777777" w:rsidR="00AB1489" w:rsidRDefault="00AB1489" w:rsidP="00AB1489">
      <w:pPr>
        <w:spacing w:after="0" w:line="240" w:lineRule="auto"/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Гинтс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Лаздиньш</w:t>
      </w:r>
      <w:proofErr w:type="spellEnd"/>
    </w:p>
    <w:p w14:paraId="17D9AE0F" w14:textId="77777777" w:rsidR="00AB1489" w:rsidRDefault="00AB1489" w:rsidP="00AB1489">
      <w:pPr>
        <w:spacing w:after="0" w:line="240" w:lineRule="auto"/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Тел</w:t>
      </w:r>
      <w:proofErr w:type="spellEnd"/>
      <w:r>
        <w:rPr>
          <w:i/>
          <w:iCs/>
          <w:sz w:val="20"/>
          <w:szCs w:val="20"/>
        </w:rPr>
        <w:t>: +371 29442282, Э-</w:t>
      </w:r>
      <w:proofErr w:type="spellStart"/>
      <w:r>
        <w:rPr>
          <w:i/>
          <w:iCs/>
          <w:sz w:val="20"/>
          <w:szCs w:val="20"/>
        </w:rPr>
        <w:t>почта</w:t>
      </w:r>
      <w:proofErr w:type="spellEnd"/>
      <w:r>
        <w:rPr>
          <w:i/>
          <w:iCs/>
          <w:sz w:val="20"/>
          <w:szCs w:val="20"/>
        </w:rPr>
        <w:t xml:space="preserve">: </w:t>
      </w:r>
      <w:hyperlink r:id="rId7" w:history="1">
        <w:r>
          <w:rPr>
            <w:rStyle w:val="Hyperlink"/>
            <w:sz w:val="20"/>
            <w:szCs w:val="20"/>
          </w:rPr>
          <w:t>gints@olsen.lv</w:t>
        </w:r>
      </w:hyperlink>
    </w:p>
    <w:p w14:paraId="09E46E88" w14:textId="6E6D2427" w:rsidR="00617E51" w:rsidRPr="00AB1489" w:rsidRDefault="00617E51" w:rsidP="00AB1489">
      <w:pPr>
        <w:spacing w:after="0" w:line="240" w:lineRule="auto"/>
      </w:pPr>
    </w:p>
    <w:sectPr w:rsidR="00617E51" w:rsidRPr="00AB1489" w:rsidSect="004827D3">
      <w:headerReference w:type="default" r:id="rId8"/>
      <w:footerReference w:type="default" r:id="rId9"/>
      <w:pgSz w:w="11906" w:h="16838"/>
      <w:pgMar w:top="1440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9AA74" w14:textId="77777777" w:rsidR="00D8006D" w:rsidRDefault="00D8006D" w:rsidP="00C62AF7">
      <w:pPr>
        <w:spacing w:after="0" w:line="240" w:lineRule="auto"/>
      </w:pPr>
      <w:r>
        <w:separator/>
      </w:r>
    </w:p>
  </w:endnote>
  <w:endnote w:type="continuationSeparator" w:id="0">
    <w:p w14:paraId="4B52A46A" w14:textId="77777777" w:rsidR="00D8006D" w:rsidRDefault="00D8006D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86E16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20.25pt">
          <v:imagedata r:id="rId1" o:title=""/>
        </v:shape>
        <o:OLEObject Type="Embed" ProgID="CorelDraw.Graphic.17" ShapeID="_x0000_i1026" DrawAspect="Content" ObjectID="_1571058979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E64AC" w14:textId="77777777" w:rsidR="00D8006D" w:rsidRDefault="00D8006D" w:rsidP="00C62AF7">
      <w:pPr>
        <w:spacing w:after="0" w:line="240" w:lineRule="auto"/>
      </w:pPr>
      <w:r>
        <w:separator/>
      </w:r>
    </w:p>
  </w:footnote>
  <w:footnote w:type="continuationSeparator" w:id="0">
    <w:p w14:paraId="2266F01F" w14:textId="77777777" w:rsidR="00D8006D" w:rsidRDefault="00D8006D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4pt">
          <v:imagedata r:id="rId1" o:title=""/>
        </v:shape>
        <o:OLEObject Type="Embed" ProgID="CorelDraw.Graphic.17" ShapeID="_x0000_i1025" DrawAspect="Content" ObjectID="_1571058978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84B6D"/>
    <w:rsid w:val="00092C8C"/>
    <w:rsid w:val="00092E79"/>
    <w:rsid w:val="00094687"/>
    <w:rsid w:val="000B1DBA"/>
    <w:rsid w:val="000D1B12"/>
    <w:rsid w:val="00102D4A"/>
    <w:rsid w:val="00103B45"/>
    <w:rsid w:val="0011042D"/>
    <w:rsid w:val="00144F48"/>
    <w:rsid w:val="00153B22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1E71BD"/>
    <w:rsid w:val="00221376"/>
    <w:rsid w:val="00250F1C"/>
    <w:rsid w:val="00261157"/>
    <w:rsid w:val="00266993"/>
    <w:rsid w:val="0027402E"/>
    <w:rsid w:val="00280754"/>
    <w:rsid w:val="002978D6"/>
    <w:rsid w:val="002B0D8B"/>
    <w:rsid w:val="002D5F23"/>
    <w:rsid w:val="002F2970"/>
    <w:rsid w:val="002F353B"/>
    <w:rsid w:val="00332B9B"/>
    <w:rsid w:val="003425AA"/>
    <w:rsid w:val="003427E6"/>
    <w:rsid w:val="003437E1"/>
    <w:rsid w:val="003537B5"/>
    <w:rsid w:val="00362517"/>
    <w:rsid w:val="00382C5D"/>
    <w:rsid w:val="003B1D0E"/>
    <w:rsid w:val="003B5F8E"/>
    <w:rsid w:val="003B79AF"/>
    <w:rsid w:val="003D14B9"/>
    <w:rsid w:val="003F0B61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7D3"/>
    <w:rsid w:val="004A2480"/>
    <w:rsid w:val="004C32E0"/>
    <w:rsid w:val="004D2161"/>
    <w:rsid w:val="00506CDA"/>
    <w:rsid w:val="00520799"/>
    <w:rsid w:val="00537A74"/>
    <w:rsid w:val="00590ADB"/>
    <w:rsid w:val="005B0F55"/>
    <w:rsid w:val="005B15E8"/>
    <w:rsid w:val="005C6462"/>
    <w:rsid w:val="005D5FB2"/>
    <w:rsid w:val="005E1FE3"/>
    <w:rsid w:val="005E69F5"/>
    <w:rsid w:val="00603034"/>
    <w:rsid w:val="00617E51"/>
    <w:rsid w:val="006610B2"/>
    <w:rsid w:val="006A6493"/>
    <w:rsid w:val="006B768B"/>
    <w:rsid w:val="006E02BB"/>
    <w:rsid w:val="006E217C"/>
    <w:rsid w:val="006E75CA"/>
    <w:rsid w:val="00713F2D"/>
    <w:rsid w:val="007376C8"/>
    <w:rsid w:val="00780200"/>
    <w:rsid w:val="00784272"/>
    <w:rsid w:val="00795304"/>
    <w:rsid w:val="007B675F"/>
    <w:rsid w:val="007C5ACC"/>
    <w:rsid w:val="007E77E8"/>
    <w:rsid w:val="008278BE"/>
    <w:rsid w:val="00850CCE"/>
    <w:rsid w:val="00867D74"/>
    <w:rsid w:val="00881B76"/>
    <w:rsid w:val="00896D38"/>
    <w:rsid w:val="008D1434"/>
    <w:rsid w:val="00930C25"/>
    <w:rsid w:val="00936462"/>
    <w:rsid w:val="009605DD"/>
    <w:rsid w:val="00964DE9"/>
    <w:rsid w:val="00966515"/>
    <w:rsid w:val="0097040E"/>
    <w:rsid w:val="009722A2"/>
    <w:rsid w:val="00973D97"/>
    <w:rsid w:val="00983AE6"/>
    <w:rsid w:val="009847D7"/>
    <w:rsid w:val="00987FC2"/>
    <w:rsid w:val="00994F2C"/>
    <w:rsid w:val="009A4EFB"/>
    <w:rsid w:val="009E6BEB"/>
    <w:rsid w:val="009F1B6D"/>
    <w:rsid w:val="00A122A4"/>
    <w:rsid w:val="00A167B2"/>
    <w:rsid w:val="00A63CE0"/>
    <w:rsid w:val="00A70CDC"/>
    <w:rsid w:val="00A71459"/>
    <w:rsid w:val="00A85B1F"/>
    <w:rsid w:val="00A916C7"/>
    <w:rsid w:val="00A9616D"/>
    <w:rsid w:val="00AA11DB"/>
    <w:rsid w:val="00AB1489"/>
    <w:rsid w:val="00AB1AE2"/>
    <w:rsid w:val="00AC5BF5"/>
    <w:rsid w:val="00AD2F7E"/>
    <w:rsid w:val="00AE1616"/>
    <w:rsid w:val="00AE3928"/>
    <w:rsid w:val="00B100D8"/>
    <w:rsid w:val="00B31BA0"/>
    <w:rsid w:val="00B50CBA"/>
    <w:rsid w:val="00B5195D"/>
    <w:rsid w:val="00B57A8D"/>
    <w:rsid w:val="00B9680B"/>
    <w:rsid w:val="00BB784E"/>
    <w:rsid w:val="00BC25C6"/>
    <w:rsid w:val="00BC6C58"/>
    <w:rsid w:val="00BE1131"/>
    <w:rsid w:val="00BF4CE5"/>
    <w:rsid w:val="00C12FDC"/>
    <w:rsid w:val="00C15567"/>
    <w:rsid w:val="00C367FD"/>
    <w:rsid w:val="00C40F73"/>
    <w:rsid w:val="00C42877"/>
    <w:rsid w:val="00C62AF7"/>
    <w:rsid w:val="00C80E9A"/>
    <w:rsid w:val="00C91CFB"/>
    <w:rsid w:val="00CC1D83"/>
    <w:rsid w:val="00D01223"/>
    <w:rsid w:val="00D01457"/>
    <w:rsid w:val="00D05616"/>
    <w:rsid w:val="00D05A63"/>
    <w:rsid w:val="00D356F9"/>
    <w:rsid w:val="00D8006D"/>
    <w:rsid w:val="00E21F46"/>
    <w:rsid w:val="00E23A71"/>
    <w:rsid w:val="00E537C3"/>
    <w:rsid w:val="00E6367A"/>
    <w:rsid w:val="00E730A3"/>
    <w:rsid w:val="00E8391D"/>
    <w:rsid w:val="00E9038F"/>
    <w:rsid w:val="00E91AD3"/>
    <w:rsid w:val="00EA42C0"/>
    <w:rsid w:val="00EC046F"/>
    <w:rsid w:val="00EC201D"/>
    <w:rsid w:val="00EC50B3"/>
    <w:rsid w:val="00F1514F"/>
    <w:rsid w:val="00F16ADC"/>
    <w:rsid w:val="00F2284B"/>
    <w:rsid w:val="00F3262F"/>
    <w:rsid w:val="00F50FC6"/>
    <w:rsid w:val="00F60868"/>
    <w:rsid w:val="00F72968"/>
    <w:rsid w:val="00F920A2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CF0BF4DC-E0BC-477C-AC67-69784C1A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3A97-6E62-475B-A827-C8917457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2017-11-01T14:30:00Z</dcterms:created>
  <dcterms:modified xsi:type="dcterms:W3CDTF">2017-11-01T14:30:00Z</dcterms:modified>
</cp:coreProperties>
</file>