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5AF5914C" w:rsidR="00E21F46" w:rsidRDefault="002F2970" w:rsidP="00E21F46">
      <w:pPr>
        <w:spacing w:after="0" w:line="240" w:lineRule="auto"/>
        <w:jc w:val="right"/>
      </w:pPr>
      <w:r>
        <w:t>0</w:t>
      </w:r>
      <w:r w:rsidR="0062048F">
        <w:t>7</w:t>
      </w:r>
      <w:r>
        <w:t>.1</w:t>
      </w:r>
      <w:r w:rsidR="0062048F">
        <w:t>2</w:t>
      </w:r>
      <w:r w:rsidR="00162149">
        <w:t>.2017</w:t>
      </w:r>
    </w:p>
    <w:p w14:paraId="19D3F1B8" w14:textId="77777777" w:rsidR="002104A1" w:rsidRDefault="002104A1" w:rsidP="00E21F46">
      <w:pPr>
        <w:spacing w:after="0" w:line="240" w:lineRule="auto"/>
        <w:jc w:val="right"/>
      </w:pPr>
    </w:p>
    <w:p w14:paraId="5CE654F9" w14:textId="6DC7A065" w:rsidR="00C40F73" w:rsidRPr="00F50FC6" w:rsidRDefault="0062048F" w:rsidP="00C40F73">
      <w:pPr>
        <w:rPr>
          <w:b/>
          <w:sz w:val="28"/>
          <w:szCs w:val="28"/>
        </w:rPr>
      </w:pPr>
      <w:r>
        <w:rPr>
          <w:b/>
          <w:sz w:val="28"/>
          <w:szCs w:val="28"/>
        </w:rPr>
        <w:t>Ar neapdrošinātu transportlīdzekli CSNg visbiežāk izraisa gados jauni autovadītāji</w:t>
      </w:r>
    </w:p>
    <w:p w14:paraId="0B56C17B" w14:textId="51E89024" w:rsidR="00C40F73" w:rsidRPr="00C40F73" w:rsidRDefault="0062048F" w:rsidP="00C40F73">
      <w:pPr>
        <w:jc w:val="both"/>
        <w:rPr>
          <w:b/>
          <w:sz w:val="24"/>
          <w:szCs w:val="24"/>
        </w:rPr>
      </w:pPr>
      <w:bookmarkStart w:id="0" w:name="_GoBack"/>
      <w:r>
        <w:rPr>
          <w:b/>
          <w:sz w:val="24"/>
          <w:szCs w:val="24"/>
        </w:rPr>
        <w:t xml:space="preserve">Latvijas Transportlīdzekļu apdrošinātāju biroja (turpmāk – LTAB) statistika par pēdējiem pieciem gadiem liecina, ka visbiežāk ar neapdrošinātu transportlīdzekli ceļu satiksmes negadījumus (turpmāk – CSNg) izraisa </w:t>
      </w:r>
      <w:r w:rsidR="00E31CDC">
        <w:rPr>
          <w:b/>
          <w:sz w:val="24"/>
          <w:szCs w:val="24"/>
        </w:rPr>
        <w:t>26 - 35</w:t>
      </w:r>
      <w:r>
        <w:rPr>
          <w:b/>
          <w:sz w:val="24"/>
          <w:szCs w:val="24"/>
        </w:rPr>
        <w:t xml:space="preserve"> gadus veci autovadītāji. Analizējot neapdrošināto transportlīdzekļu marku, ar kuriem visbiežāk izraisīti CSNg, dominē VW markas auto, savukārt spēkratu vecuma kategorijā visbiežāk CSNg bez derīgas OCTA izraisa </w:t>
      </w:r>
      <w:r w:rsidR="00E31CDC">
        <w:rPr>
          <w:b/>
          <w:sz w:val="24"/>
          <w:szCs w:val="24"/>
        </w:rPr>
        <w:t>21 gadu un vecāki transportlīdzekļi</w:t>
      </w:r>
      <w:r w:rsidR="00C40F73" w:rsidRPr="00C40F73">
        <w:rPr>
          <w:b/>
          <w:sz w:val="24"/>
          <w:szCs w:val="24"/>
        </w:rPr>
        <w:t xml:space="preserve">. </w:t>
      </w:r>
    </w:p>
    <w:bookmarkEnd w:id="0"/>
    <w:p w14:paraId="08AF668F" w14:textId="25CE7063" w:rsidR="00C40F73" w:rsidRDefault="00E31CDC" w:rsidP="00C40F73">
      <w:pPr>
        <w:jc w:val="both"/>
        <w:rPr>
          <w:sz w:val="24"/>
          <w:szCs w:val="24"/>
        </w:rPr>
      </w:pPr>
      <w:r>
        <w:rPr>
          <w:sz w:val="24"/>
          <w:szCs w:val="24"/>
        </w:rPr>
        <w:t xml:space="preserve">LTAB apkopojis neapdrošināto transportlīdzekļu izraisīto CSNg statistiku par 2012. – 2017*.gadu. Analizējot datus par autovadītājiem, kas visbiežāk izraisa CSNg ar neapdrošinātu transportlīdzekli, dominē gados jauni autovadītāji – 475 CSNg (jeb 29%) izraisījuši 26 – 35 gadus, bet 439 negadījumus (27%) 18 – 25 gadus veci autovadītāji. </w:t>
      </w:r>
    </w:p>
    <w:p w14:paraId="07B4F565" w14:textId="666CDFA5" w:rsidR="00E31CDC" w:rsidRDefault="00E31CDC" w:rsidP="002104A1">
      <w:pPr>
        <w:jc w:val="center"/>
        <w:rPr>
          <w:sz w:val="24"/>
          <w:szCs w:val="24"/>
        </w:rPr>
      </w:pPr>
      <w:r>
        <w:rPr>
          <w:noProof/>
          <w:lang w:eastAsia="lv-LV"/>
        </w:rPr>
        <w:drawing>
          <wp:inline distT="0" distB="0" distL="0" distR="0" wp14:anchorId="79CCAAEF" wp14:editId="695CD1D9">
            <wp:extent cx="5982335" cy="2444750"/>
            <wp:effectExtent l="0" t="0" r="18415" b="12700"/>
            <wp:docPr id="2"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E115B4" w14:textId="29669A86" w:rsidR="00E31CDC" w:rsidRDefault="00E31CDC" w:rsidP="00C40F73">
      <w:pPr>
        <w:jc w:val="both"/>
        <w:rPr>
          <w:sz w:val="24"/>
          <w:szCs w:val="24"/>
        </w:rPr>
      </w:pPr>
      <w:r>
        <w:rPr>
          <w:sz w:val="24"/>
          <w:szCs w:val="24"/>
        </w:rPr>
        <w:t xml:space="preserve">Transportlīdzekļu vecuma kategorijā, ar kuriem visbiežāk izraisīti CSNg bez derīgas OCTA, </w:t>
      </w:r>
      <w:r w:rsidR="002104A1">
        <w:rPr>
          <w:sz w:val="24"/>
          <w:szCs w:val="24"/>
        </w:rPr>
        <w:t xml:space="preserve">lielākā riska grupa ir 21 gadu un vecāki transportlīdzekļi, ar kuriem izraisīti 756 negadījumi (45%), kā arī 16 – 20 gadus veci auto, kuri bijuši vainīgi pie 495 CSNg (29%). Ar gados jauniem (līdz 5 gadi) spēkratiem bez derīgas OCTA izraisīti 25 CSNg, kas ir </w:t>
      </w:r>
      <w:r w:rsidR="00D64EA4">
        <w:rPr>
          <w:sz w:val="24"/>
          <w:szCs w:val="24"/>
        </w:rPr>
        <w:t xml:space="preserve">tikai </w:t>
      </w:r>
      <w:r w:rsidR="002104A1">
        <w:rPr>
          <w:sz w:val="24"/>
          <w:szCs w:val="24"/>
        </w:rPr>
        <w:t xml:space="preserve">2% no kopējā neapdrošināto izraisīto negadījumu skaita. </w:t>
      </w:r>
    </w:p>
    <w:p w14:paraId="488DF32A" w14:textId="3EB9C64F" w:rsidR="002104A1" w:rsidRDefault="002104A1" w:rsidP="002104A1">
      <w:pPr>
        <w:jc w:val="center"/>
        <w:rPr>
          <w:sz w:val="24"/>
          <w:szCs w:val="24"/>
        </w:rPr>
      </w:pPr>
      <w:r>
        <w:rPr>
          <w:noProof/>
          <w:lang w:eastAsia="lv-LV"/>
        </w:rPr>
        <w:drawing>
          <wp:inline distT="0" distB="0" distL="0" distR="0" wp14:anchorId="77F9A222" wp14:editId="2E8CF78C">
            <wp:extent cx="6102985" cy="2419350"/>
            <wp:effectExtent l="0" t="0" r="12065" b="0"/>
            <wp:docPr id="3" name="Chart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7AB6F8" w14:textId="440A0DFF" w:rsidR="002104A1" w:rsidRDefault="002104A1" w:rsidP="00C40F73">
      <w:pPr>
        <w:jc w:val="both"/>
        <w:rPr>
          <w:sz w:val="24"/>
          <w:szCs w:val="24"/>
        </w:rPr>
      </w:pPr>
      <w:r>
        <w:rPr>
          <w:sz w:val="24"/>
          <w:szCs w:val="24"/>
        </w:rPr>
        <w:lastRenderedPageBreak/>
        <w:t xml:space="preserve">Savukārt </w:t>
      </w:r>
      <w:r w:rsidRPr="002104A1">
        <w:rPr>
          <w:sz w:val="24"/>
          <w:szCs w:val="24"/>
        </w:rPr>
        <w:t>neapdrošināto transportlīdzekļu marku</w:t>
      </w:r>
      <w:r>
        <w:rPr>
          <w:sz w:val="24"/>
          <w:szCs w:val="24"/>
        </w:rPr>
        <w:t xml:space="preserve"> vidū</w:t>
      </w:r>
      <w:r w:rsidRPr="002104A1">
        <w:rPr>
          <w:sz w:val="24"/>
          <w:szCs w:val="24"/>
        </w:rPr>
        <w:t>, ar kuriem visbiežāk izraisīti CSNg, dominē VW markas auto</w:t>
      </w:r>
      <w:r>
        <w:rPr>
          <w:sz w:val="24"/>
          <w:szCs w:val="24"/>
        </w:rPr>
        <w:t>. Bez derīgas OCTA</w:t>
      </w:r>
      <w:r w:rsidR="00D64EA4">
        <w:rPr>
          <w:sz w:val="24"/>
          <w:szCs w:val="24"/>
        </w:rPr>
        <w:t xml:space="preserve"> ar šādas markas spēkratiem izraisīti 282 negadījumi, tikmēr ar BMW– 225, bet Audi markas auto – 224 CSNg. Svarīgi atzīmēt, ka šo marku automašīnas </w:t>
      </w:r>
      <w:r w:rsidR="00296F9D">
        <w:rPr>
          <w:sz w:val="24"/>
          <w:szCs w:val="24"/>
        </w:rPr>
        <w:t xml:space="preserve">Latvijā </w:t>
      </w:r>
      <w:r w:rsidR="00D64EA4">
        <w:rPr>
          <w:sz w:val="24"/>
          <w:szCs w:val="24"/>
        </w:rPr>
        <w:t xml:space="preserve">ir arī </w:t>
      </w:r>
      <w:r w:rsidR="00296F9D">
        <w:rPr>
          <w:sz w:val="24"/>
          <w:szCs w:val="24"/>
        </w:rPr>
        <w:t xml:space="preserve">visvairāk </w:t>
      </w:r>
      <w:r w:rsidR="00D64EA4">
        <w:rPr>
          <w:sz w:val="24"/>
          <w:szCs w:val="24"/>
        </w:rPr>
        <w:t>reģistrēt</w:t>
      </w:r>
      <w:r w:rsidR="00296F9D">
        <w:rPr>
          <w:sz w:val="24"/>
          <w:szCs w:val="24"/>
        </w:rPr>
        <w:t>as</w:t>
      </w:r>
      <w:r w:rsidR="00D64EA4">
        <w:rPr>
          <w:sz w:val="24"/>
          <w:szCs w:val="24"/>
        </w:rPr>
        <w:t>, tādēļ ar tām izraisīto CSNg īpatsvars proporcionāli ir vislielākais.</w:t>
      </w:r>
    </w:p>
    <w:p w14:paraId="3E6E2B22" w14:textId="45356579" w:rsidR="00D64EA4" w:rsidRPr="00C40F73" w:rsidRDefault="00D64EA4" w:rsidP="00C40F73">
      <w:pPr>
        <w:jc w:val="both"/>
        <w:rPr>
          <w:sz w:val="24"/>
          <w:szCs w:val="24"/>
        </w:rPr>
      </w:pPr>
      <w:r>
        <w:rPr>
          <w:sz w:val="24"/>
          <w:szCs w:val="24"/>
        </w:rPr>
        <w:t xml:space="preserve">“Ja kopsakarībās analizējam minētos datus, tad varam secināt, ka </w:t>
      </w:r>
      <w:r w:rsidRPr="00D64EA4">
        <w:rPr>
          <w:i/>
          <w:sz w:val="24"/>
          <w:szCs w:val="24"/>
        </w:rPr>
        <w:t>vidējais statistiskais</w:t>
      </w:r>
      <w:r>
        <w:rPr>
          <w:sz w:val="24"/>
          <w:szCs w:val="24"/>
        </w:rPr>
        <w:t xml:space="preserve"> Latvijas autovadītājs, kas izraisa CSNg bez derīgas OCTA ir 36,9 gadus vecs vadītājs, kurš vada 19,4 gadus vecu VW markas spēkratu,” skaidro LTAB valdes priekšsēdētājs Jānis Abāšins.</w:t>
      </w:r>
    </w:p>
    <w:p w14:paraId="2E1B253E" w14:textId="4D908BC3" w:rsidR="00057CFE" w:rsidRPr="00C40F73" w:rsidRDefault="00057CFE" w:rsidP="00057CFE">
      <w:pPr>
        <w:spacing w:after="0" w:line="240" w:lineRule="auto"/>
        <w:jc w:val="both"/>
        <w:rPr>
          <w:sz w:val="24"/>
          <w:szCs w:val="24"/>
        </w:rPr>
      </w:pPr>
      <w:r w:rsidRPr="00C40F73">
        <w:rPr>
          <w:sz w:val="24"/>
          <w:szCs w:val="24"/>
        </w:rPr>
        <w:t>1997.gadā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“InterRisk Vienna Insurance Group” AAS, “Seesam Insurance” AS Latvijas filiāle un “Swedbank P&amp;C Insurance” AS Latvijas filiāle.</w:t>
      </w:r>
    </w:p>
    <w:p w14:paraId="03E73E53" w14:textId="60E9303D" w:rsidR="00E21F46" w:rsidRDefault="00E21F46" w:rsidP="00E21F46"/>
    <w:p w14:paraId="6CEC8E5E" w14:textId="0CC72D89" w:rsidR="00E31CDC" w:rsidRPr="00E31CDC" w:rsidRDefault="00E31CDC" w:rsidP="00E21F46">
      <w:pPr>
        <w:rPr>
          <w:i/>
        </w:rPr>
      </w:pPr>
      <w:r w:rsidRPr="00E31CDC">
        <w:rPr>
          <w:i/>
        </w:rPr>
        <w:t>* Dati līdz 24.10.2017.</w:t>
      </w:r>
    </w:p>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p>
    <w:sectPr w:rsidR="00617E51" w:rsidRPr="00E21F46" w:rsidSect="002104A1">
      <w:headerReference w:type="default" r:id="rId9"/>
      <w:footerReference w:type="default" r:id="rId10"/>
      <w:pgSz w:w="11906" w:h="16838"/>
      <w:pgMar w:top="1178" w:right="991" w:bottom="1134" w:left="1134"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AEF94" w14:textId="77777777" w:rsidR="002532B7" w:rsidRDefault="002532B7" w:rsidP="00C62AF7">
      <w:pPr>
        <w:spacing w:after="0" w:line="240" w:lineRule="auto"/>
      </w:pPr>
      <w:r>
        <w:separator/>
      </w:r>
    </w:p>
  </w:endnote>
  <w:endnote w:type="continuationSeparator" w:id="0">
    <w:p w14:paraId="5866D572" w14:textId="77777777" w:rsidR="002532B7" w:rsidRDefault="002532B7"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20.25pt">
          <v:imagedata r:id="rId1" o:title=""/>
        </v:shape>
        <o:OLEObject Type="Embed" ProgID="CorelDraw.Graphic.17" ShapeID="_x0000_i1026" DrawAspect="Content" ObjectID="_1574151075"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B3609" w14:textId="77777777" w:rsidR="002532B7" w:rsidRDefault="002532B7" w:rsidP="00C62AF7">
      <w:pPr>
        <w:spacing w:after="0" w:line="240" w:lineRule="auto"/>
      </w:pPr>
      <w:r>
        <w:separator/>
      </w:r>
    </w:p>
  </w:footnote>
  <w:footnote w:type="continuationSeparator" w:id="0">
    <w:p w14:paraId="1AE9333B" w14:textId="77777777" w:rsidR="002532B7" w:rsidRDefault="002532B7"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4pt">
          <v:imagedata r:id="rId1" o:title=""/>
        </v:shape>
        <o:OLEObject Type="Embed" ProgID="CorelDraw.Graphic.17" ShapeID="_x0000_i1025" DrawAspect="Content" ObjectID="_1574151074"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84B6D"/>
    <w:rsid w:val="00092C8C"/>
    <w:rsid w:val="00092E79"/>
    <w:rsid w:val="00094687"/>
    <w:rsid w:val="000B1DBA"/>
    <w:rsid w:val="00102D4A"/>
    <w:rsid w:val="00103B45"/>
    <w:rsid w:val="0011042D"/>
    <w:rsid w:val="00144F48"/>
    <w:rsid w:val="00153B22"/>
    <w:rsid w:val="00162149"/>
    <w:rsid w:val="00171015"/>
    <w:rsid w:val="00172BBC"/>
    <w:rsid w:val="001740B2"/>
    <w:rsid w:val="00196DE3"/>
    <w:rsid w:val="001B1813"/>
    <w:rsid w:val="001C65E0"/>
    <w:rsid w:val="001D3B28"/>
    <w:rsid w:val="001D6AEF"/>
    <w:rsid w:val="001E57C6"/>
    <w:rsid w:val="001E71BD"/>
    <w:rsid w:val="002104A1"/>
    <w:rsid w:val="00221376"/>
    <w:rsid w:val="00250F1C"/>
    <w:rsid w:val="002532B7"/>
    <w:rsid w:val="00261157"/>
    <w:rsid w:val="00266993"/>
    <w:rsid w:val="0027402E"/>
    <w:rsid w:val="00280754"/>
    <w:rsid w:val="00296F9D"/>
    <w:rsid w:val="002978D6"/>
    <w:rsid w:val="002B0D8B"/>
    <w:rsid w:val="002D5F23"/>
    <w:rsid w:val="002F2970"/>
    <w:rsid w:val="002F353B"/>
    <w:rsid w:val="00332B9B"/>
    <w:rsid w:val="00340F5E"/>
    <w:rsid w:val="003425AA"/>
    <w:rsid w:val="003427E6"/>
    <w:rsid w:val="003437E1"/>
    <w:rsid w:val="003537B5"/>
    <w:rsid w:val="00362517"/>
    <w:rsid w:val="00382C5D"/>
    <w:rsid w:val="003B1D0E"/>
    <w:rsid w:val="003B5F8E"/>
    <w:rsid w:val="003B79AF"/>
    <w:rsid w:val="003D14B9"/>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506CDA"/>
    <w:rsid w:val="00520799"/>
    <w:rsid w:val="00537A74"/>
    <w:rsid w:val="00590ADB"/>
    <w:rsid w:val="005B0F55"/>
    <w:rsid w:val="005B15E8"/>
    <w:rsid w:val="005C6462"/>
    <w:rsid w:val="005D5FB2"/>
    <w:rsid w:val="005E1FE3"/>
    <w:rsid w:val="005E69F5"/>
    <w:rsid w:val="00603034"/>
    <w:rsid w:val="00617E51"/>
    <w:rsid w:val="0062048F"/>
    <w:rsid w:val="006610B2"/>
    <w:rsid w:val="006A6493"/>
    <w:rsid w:val="006B768B"/>
    <w:rsid w:val="006E02BB"/>
    <w:rsid w:val="006E217C"/>
    <w:rsid w:val="006E75CA"/>
    <w:rsid w:val="00713F2D"/>
    <w:rsid w:val="007376C8"/>
    <w:rsid w:val="00780200"/>
    <w:rsid w:val="007839B7"/>
    <w:rsid w:val="00784272"/>
    <w:rsid w:val="00795304"/>
    <w:rsid w:val="007B675F"/>
    <w:rsid w:val="007C5ACC"/>
    <w:rsid w:val="007E77E8"/>
    <w:rsid w:val="008278BE"/>
    <w:rsid w:val="00850CCE"/>
    <w:rsid w:val="00867D74"/>
    <w:rsid w:val="00881B76"/>
    <w:rsid w:val="00896D38"/>
    <w:rsid w:val="008D1434"/>
    <w:rsid w:val="00930C25"/>
    <w:rsid w:val="00936462"/>
    <w:rsid w:val="009605DD"/>
    <w:rsid w:val="00964DE9"/>
    <w:rsid w:val="00966515"/>
    <w:rsid w:val="0097040E"/>
    <w:rsid w:val="009722A2"/>
    <w:rsid w:val="00973D97"/>
    <w:rsid w:val="00983AE6"/>
    <w:rsid w:val="009847D7"/>
    <w:rsid w:val="00987FC2"/>
    <w:rsid w:val="00994F2C"/>
    <w:rsid w:val="009A4EFB"/>
    <w:rsid w:val="009F1B6D"/>
    <w:rsid w:val="00A05754"/>
    <w:rsid w:val="00A122A4"/>
    <w:rsid w:val="00A167B2"/>
    <w:rsid w:val="00A63CE0"/>
    <w:rsid w:val="00A70CDC"/>
    <w:rsid w:val="00A71459"/>
    <w:rsid w:val="00A85B1F"/>
    <w:rsid w:val="00A916C7"/>
    <w:rsid w:val="00A9616D"/>
    <w:rsid w:val="00AA11DB"/>
    <w:rsid w:val="00AB1AE2"/>
    <w:rsid w:val="00AC5BF5"/>
    <w:rsid w:val="00AD2F7E"/>
    <w:rsid w:val="00AE1616"/>
    <w:rsid w:val="00AE3928"/>
    <w:rsid w:val="00AF7CF9"/>
    <w:rsid w:val="00B100D8"/>
    <w:rsid w:val="00B31BA0"/>
    <w:rsid w:val="00B4085E"/>
    <w:rsid w:val="00B50CBA"/>
    <w:rsid w:val="00B5195D"/>
    <w:rsid w:val="00B57A8D"/>
    <w:rsid w:val="00B9680B"/>
    <w:rsid w:val="00BB784E"/>
    <w:rsid w:val="00BC25C6"/>
    <w:rsid w:val="00BC6C58"/>
    <w:rsid w:val="00BE1131"/>
    <w:rsid w:val="00BF4CE5"/>
    <w:rsid w:val="00C12FDC"/>
    <w:rsid w:val="00C40F73"/>
    <w:rsid w:val="00C42877"/>
    <w:rsid w:val="00C62AF7"/>
    <w:rsid w:val="00C80E9A"/>
    <w:rsid w:val="00C91CFB"/>
    <w:rsid w:val="00CC1D83"/>
    <w:rsid w:val="00D01223"/>
    <w:rsid w:val="00D01457"/>
    <w:rsid w:val="00D05616"/>
    <w:rsid w:val="00D05A63"/>
    <w:rsid w:val="00D356F9"/>
    <w:rsid w:val="00D64EA4"/>
    <w:rsid w:val="00DB4A01"/>
    <w:rsid w:val="00E21F46"/>
    <w:rsid w:val="00E23A71"/>
    <w:rsid w:val="00E31CDC"/>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WFKQCUF8\Neapdr%20markas%20vecu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WFKQCUF8\Neapdr%20markas%20vecu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lv-LV" sz="1400"/>
              <a:t>Transportlīdzekļa vadītāja, kas izraisījis CSNg bez derīgas OCTA,</a:t>
            </a:r>
            <a:r>
              <a:rPr lang="lv-LV" sz="1400" baseline="0"/>
              <a:t> </a:t>
            </a:r>
            <a:r>
              <a:rPr lang="lv-LV" sz="1400"/>
              <a:t>vecums</a:t>
            </a:r>
          </a:p>
        </c:rich>
      </c:tx>
      <c:layout>
        <c:manualLayout>
          <c:xMode val="edge"/>
          <c:yMode val="edge"/>
          <c:x val="4.1279555349698932E-2"/>
          <c:y val="5.2293174245285533E-2"/>
        </c:manualLayout>
      </c:layout>
      <c:overlay val="1"/>
    </c:title>
    <c:autoTitleDeleted val="0"/>
    <c:view3D>
      <c:rotX val="30"/>
      <c:rotY val="80"/>
      <c:rAngAx val="0"/>
    </c:view3D>
    <c:floor>
      <c:thickness val="0"/>
    </c:floor>
    <c:sideWall>
      <c:thickness val="0"/>
    </c:sideWall>
    <c:backWall>
      <c:thickness val="0"/>
    </c:backWall>
    <c:plotArea>
      <c:layout>
        <c:manualLayout>
          <c:layoutTarget val="inner"/>
          <c:xMode val="edge"/>
          <c:yMode val="edge"/>
          <c:x val="0.15619967041999314"/>
          <c:y val="0.38865573316523772"/>
          <c:w val="0.67605569853814285"/>
          <c:h val="0.59494401469136104"/>
        </c:manualLayout>
      </c:layout>
      <c:pie3DChart>
        <c:varyColors val="1"/>
        <c:ser>
          <c:idx val="0"/>
          <c:order val="0"/>
          <c:explosion val="25"/>
          <c:dLbls>
            <c:dLbl>
              <c:idx val="0"/>
              <c:layout>
                <c:manualLayout>
                  <c:x val="-9.4318855304377277E-3"/>
                  <c:y val="3.7268025154715723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685-4941-BB28-0D338AB7BFEA}"/>
                </c:ext>
              </c:extLst>
            </c:dLbl>
            <c:dLbl>
              <c:idx val="1"/>
              <c:layout>
                <c:manualLayout>
                  <c:x val="2.1916395347942211E-3"/>
                  <c:y val="-2.5078361652354665E-4"/>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85-4941-BB28-0D338AB7BFEA}"/>
                </c:ext>
              </c:extLst>
            </c:dLbl>
            <c:dLbl>
              <c:idx val="2"/>
              <c:layout>
                <c:manualLayout>
                  <c:x val="0"/>
                  <c:y val="-6.4667287153164941E-3"/>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685-4941-BB28-0D338AB7BFEA}"/>
                </c:ext>
              </c:extLst>
            </c:dLbl>
            <c:dLbl>
              <c:idx val="3"/>
              <c:layout>
                <c:manualLayout>
                  <c:x val="-3.8801579421340666E-2"/>
                  <c:y val="-1.5359344618815485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85-4941-BB28-0D338AB7BFEA}"/>
                </c:ext>
              </c:extLst>
            </c:dLbl>
            <c:dLbl>
              <c:idx val="4"/>
              <c:layout>
                <c:manualLayout>
                  <c:x val="7.5176453383209822E-3"/>
                  <c:y val="-0.12742308973314256"/>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685-4941-BB28-0D338AB7BFEA}"/>
                </c:ext>
              </c:extLst>
            </c:dLbl>
            <c:spPr>
              <a:noFill/>
              <a:ln>
                <a:noFill/>
              </a:ln>
              <a:effectLst/>
            </c:spPr>
            <c:showLegendKey val="1"/>
            <c:showVal val="0"/>
            <c:showCatName val="1"/>
            <c:showSerName val="0"/>
            <c:showPercent val="1"/>
            <c:showBubbleSize val="0"/>
            <c:showLeaderLines val="1"/>
            <c:extLst>
              <c:ext xmlns:c15="http://schemas.microsoft.com/office/drawing/2012/chart" uri="{CE6537A1-D6FC-4f65-9D91-7224C49458BB}"/>
            </c:extLst>
          </c:dLbls>
          <c:cat>
            <c:strRef>
              <c:f>'[Neapdr markas vecums.xlsx]Kopsavilkums'!$B$33:$H$33</c:f>
              <c:strCache>
                <c:ptCount val="7"/>
                <c:pt idx="0">
                  <c:v>Līdz 17 gadiem (iesk.)</c:v>
                </c:pt>
                <c:pt idx="1">
                  <c:v>18 - 25  (iesk.)</c:v>
                </c:pt>
                <c:pt idx="2">
                  <c:v>26 - 35 (iesk.)</c:v>
                </c:pt>
                <c:pt idx="3">
                  <c:v>36 - 45 (iesk.)</c:v>
                </c:pt>
                <c:pt idx="4">
                  <c:v>46 - 55 (iesk.)</c:v>
                </c:pt>
                <c:pt idx="5">
                  <c:v>56 - 65 (iesk.)</c:v>
                </c:pt>
                <c:pt idx="6">
                  <c:v>66 + (iesk.)</c:v>
                </c:pt>
              </c:strCache>
            </c:strRef>
          </c:cat>
          <c:val>
            <c:numRef>
              <c:f>'[Neapdr markas vecums.xlsx]Kopsavilkums'!$B$34:$H$34</c:f>
              <c:numCache>
                <c:formatCode>General</c:formatCode>
                <c:ptCount val="7"/>
                <c:pt idx="0">
                  <c:v>21</c:v>
                </c:pt>
                <c:pt idx="1">
                  <c:v>439</c:v>
                </c:pt>
                <c:pt idx="2">
                  <c:v>475</c:v>
                </c:pt>
                <c:pt idx="3">
                  <c:v>285</c:v>
                </c:pt>
                <c:pt idx="4">
                  <c:v>203</c:v>
                </c:pt>
                <c:pt idx="5">
                  <c:v>112</c:v>
                </c:pt>
                <c:pt idx="6">
                  <c:v>103</c:v>
                </c:pt>
              </c:numCache>
            </c:numRef>
          </c:val>
          <c:extLst>
            <c:ext xmlns:c16="http://schemas.microsoft.com/office/drawing/2014/chart" uri="{C3380CC4-5D6E-409C-BE32-E72D297353CC}">
              <c16:uniqueId val="{00000005-B685-4941-BB28-0D338AB7BFEA}"/>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lv-LV" sz="1400"/>
              <a:t>Neapdrošināto transportlīdzekļu vecums, ar kuriem izraisīti CSNg</a:t>
            </a:r>
          </a:p>
        </c:rich>
      </c:tx>
      <c:layout>
        <c:manualLayout>
          <c:xMode val="edge"/>
          <c:yMode val="edge"/>
          <c:x val="2.1223455303381194E-2"/>
          <c:y val="3.4078795810991484E-2"/>
        </c:manualLayout>
      </c:layout>
      <c:overlay val="1"/>
    </c:title>
    <c:autoTitleDeleted val="0"/>
    <c:view3D>
      <c:rotX val="30"/>
      <c:rotY val="0"/>
      <c:rAngAx val="0"/>
    </c:view3D>
    <c:floor>
      <c:thickness val="0"/>
    </c:floor>
    <c:sideWall>
      <c:thickness val="0"/>
    </c:sideWall>
    <c:backWall>
      <c:thickness val="0"/>
    </c:backWall>
    <c:plotArea>
      <c:layout>
        <c:manualLayout>
          <c:layoutTarget val="inner"/>
          <c:xMode val="edge"/>
          <c:yMode val="edge"/>
          <c:x val="0.11004857804539138"/>
          <c:y val="0.2918463126810017"/>
          <c:w val="0.79633504400185273"/>
          <c:h val="0.7047491619500853"/>
        </c:manualLayout>
      </c:layout>
      <c:pie3DChart>
        <c:varyColors val="1"/>
        <c:ser>
          <c:idx val="0"/>
          <c:order val="0"/>
          <c:explosion val="25"/>
          <c:dLbls>
            <c:dLbl>
              <c:idx val="0"/>
              <c:layout>
                <c:manualLayout>
                  <c:x val="-5.6352706644807231E-2"/>
                  <c:y val="-1.2888698149993615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630-4341-A13D-D041E5EE73FB}"/>
                </c:ext>
              </c:extLst>
            </c:dLbl>
            <c:dLbl>
              <c:idx val="3"/>
              <c:layout>
                <c:manualLayout>
                  <c:x val="1.5939378545423759E-2"/>
                  <c:y val="-1.5359344618815485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630-4341-A13D-D041E5EE73FB}"/>
                </c:ext>
              </c:extLst>
            </c:dLbl>
            <c:dLbl>
              <c:idx val="4"/>
              <c:layout>
                <c:manualLayout>
                  <c:x val="7.5176453383209822E-3"/>
                  <c:y val="-0.12742308973314256"/>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630-4341-A13D-D041E5EE73FB}"/>
                </c:ext>
              </c:extLst>
            </c:dLbl>
            <c:spPr>
              <a:noFill/>
              <a:ln>
                <a:noFill/>
              </a:ln>
              <a:effectLst/>
            </c:spPr>
            <c:showLegendKey val="1"/>
            <c:showVal val="0"/>
            <c:showCatName val="1"/>
            <c:showSerName val="0"/>
            <c:showPercent val="1"/>
            <c:showBubbleSize val="0"/>
            <c:showLeaderLines val="1"/>
            <c:extLst>
              <c:ext xmlns:c15="http://schemas.microsoft.com/office/drawing/2012/chart" uri="{CE6537A1-D6FC-4f65-9D91-7224C49458BB}"/>
            </c:extLst>
          </c:dLbls>
          <c:cat>
            <c:strRef>
              <c:f>'[Neapdr markas vecums.xlsx]Kopsavilkums'!$B$9:$F$9</c:f>
              <c:strCache>
                <c:ptCount val="5"/>
                <c:pt idx="0">
                  <c:v>0 - 5 gadi (iesk.)</c:v>
                </c:pt>
                <c:pt idx="1">
                  <c:v>6 - 10 gadi (iesk)</c:v>
                </c:pt>
                <c:pt idx="2">
                  <c:v>11 - 15 gadi (iesk.)</c:v>
                </c:pt>
                <c:pt idx="3">
                  <c:v>16 - 20 gadi (iesk.)</c:v>
                </c:pt>
                <c:pt idx="4">
                  <c:v>21 + gadi (iesk.)</c:v>
                </c:pt>
              </c:strCache>
            </c:strRef>
          </c:cat>
          <c:val>
            <c:numRef>
              <c:f>'[Neapdr markas vecums.xlsx]Kopsavilkums'!$B$10:$F$10</c:f>
              <c:numCache>
                <c:formatCode>General</c:formatCode>
                <c:ptCount val="5"/>
                <c:pt idx="0">
                  <c:v>25</c:v>
                </c:pt>
                <c:pt idx="1">
                  <c:v>114</c:v>
                </c:pt>
                <c:pt idx="2">
                  <c:v>294</c:v>
                </c:pt>
                <c:pt idx="3">
                  <c:v>495</c:v>
                </c:pt>
                <c:pt idx="4">
                  <c:v>756</c:v>
                </c:pt>
              </c:numCache>
            </c:numRef>
          </c:val>
          <c:extLst>
            <c:ext xmlns:c16="http://schemas.microsoft.com/office/drawing/2014/chart" uri="{C3380CC4-5D6E-409C-BE32-E72D297353CC}">
              <c16:uniqueId val="{00000003-C630-4341-A13D-D041E5EE73FB}"/>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93929-6BEF-4733-BF04-3195A80F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1822</Words>
  <Characters>1040</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2017-12-07T09:25:00Z</dcterms:created>
  <dcterms:modified xsi:type="dcterms:W3CDTF">2017-12-07T09:25:00Z</dcterms:modified>
</cp:coreProperties>
</file>