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1F3C8EBD" w:rsidR="00E21F46" w:rsidRPr="00183933" w:rsidRDefault="00183933" w:rsidP="00E21F46">
      <w:pPr>
        <w:spacing w:after="0" w:line="240" w:lineRule="auto"/>
        <w:jc w:val="right"/>
        <w:rPr>
          <w:lang w:val="ru-RU"/>
        </w:rPr>
      </w:pPr>
      <w:r>
        <w:rPr>
          <w:lang w:val="ru-RU"/>
        </w:rPr>
        <w:t>Информация для представителей СМИ</w:t>
      </w:r>
    </w:p>
    <w:p w14:paraId="755FEFD0" w14:textId="5AF5914C" w:rsidR="00E21F46" w:rsidRDefault="002F2970" w:rsidP="00E21F46">
      <w:pPr>
        <w:spacing w:after="0" w:line="240" w:lineRule="auto"/>
        <w:jc w:val="right"/>
      </w:pPr>
      <w:r>
        <w:t>0</w:t>
      </w:r>
      <w:r w:rsidR="0062048F">
        <w:t>7</w:t>
      </w:r>
      <w:r>
        <w:t>.1</w:t>
      </w:r>
      <w:r w:rsidR="0062048F">
        <w:t>2</w:t>
      </w:r>
      <w:r w:rsidR="00162149">
        <w:t>.2017</w:t>
      </w:r>
    </w:p>
    <w:p w14:paraId="19D3F1B8" w14:textId="77777777" w:rsidR="002104A1" w:rsidRDefault="002104A1" w:rsidP="00E21F46">
      <w:pPr>
        <w:spacing w:after="0" w:line="240" w:lineRule="auto"/>
        <w:jc w:val="right"/>
      </w:pPr>
    </w:p>
    <w:p w14:paraId="5CE654F9" w14:textId="78B325B7" w:rsidR="00C40F73" w:rsidRPr="00183933" w:rsidRDefault="00183933" w:rsidP="00C40F73">
      <w:pPr>
        <w:rPr>
          <w:b/>
          <w:sz w:val="28"/>
          <w:szCs w:val="28"/>
          <w:lang w:val="ru-RU"/>
        </w:rPr>
      </w:pPr>
      <w:r w:rsidRPr="00183933">
        <w:rPr>
          <w:b/>
          <w:sz w:val="28"/>
          <w:szCs w:val="28"/>
        </w:rPr>
        <w:t xml:space="preserve">ДТП </w:t>
      </w:r>
      <w:proofErr w:type="spellStart"/>
      <w:r w:rsidRPr="00183933">
        <w:rPr>
          <w:b/>
          <w:sz w:val="28"/>
          <w:szCs w:val="28"/>
        </w:rPr>
        <w:t>на</w:t>
      </w:r>
      <w:proofErr w:type="spellEnd"/>
      <w:r w:rsidRPr="00183933">
        <w:rPr>
          <w:b/>
          <w:sz w:val="28"/>
          <w:szCs w:val="28"/>
        </w:rPr>
        <w:t xml:space="preserve"> </w:t>
      </w:r>
      <w:proofErr w:type="spellStart"/>
      <w:r w:rsidRPr="00183933">
        <w:rPr>
          <w:b/>
          <w:sz w:val="28"/>
          <w:szCs w:val="28"/>
        </w:rPr>
        <w:t>незастрахованном</w:t>
      </w:r>
      <w:proofErr w:type="spellEnd"/>
      <w:r w:rsidRPr="00183933">
        <w:rPr>
          <w:b/>
          <w:sz w:val="28"/>
          <w:szCs w:val="28"/>
        </w:rPr>
        <w:t xml:space="preserve"> </w:t>
      </w:r>
      <w:proofErr w:type="spellStart"/>
      <w:r w:rsidRPr="00183933">
        <w:rPr>
          <w:b/>
          <w:sz w:val="28"/>
          <w:szCs w:val="28"/>
        </w:rPr>
        <w:t>транспортном</w:t>
      </w:r>
      <w:proofErr w:type="spellEnd"/>
      <w:r w:rsidRPr="00183933">
        <w:rPr>
          <w:b/>
          <w:sz w:val="28"/>
          <w:szCs w:val="28"/>
        </w:rPr>
        <w:t xml:space="preserve"> </w:t>
      </w:r>
      <w:proofErr w:type="spellStart"/>
      <w:r w:rsidRPr="00183933">
        <w:rPr>
          <w:b/>
          <w:sz w:val="28"/>
          <w:szCs w:val="28"/>
        </w:rPr>
        <w:t>средстве</w:t>
      </w:r>
      <w:proofErr w:type="spellEnd"/>
      <w:r>
        <w:rPr>
          <w:b/>
          <w:sz w:val="28"/>
          <w:szCs w:val="28"/>
          <w:lang w:val="ru-RU"/>
        </w:rPr>
        <w:t xml:space="preserve"> чаще всего вызывают молодые автоводители</w:t>
      </w:r>
    </w:p>
    <w:p w14:paraId="1C5B62F0" w14:textId="4CD18123" w:rsidR="00183933" w:rsidRPr="00183933" w:rsidRDefault="00183933" w:rsidP="00C40F73">
      <w:pPr>
        <w:jc w:val="both"/>
        <w:rPr>
          <w:b/>
          <w:sz w:val="24"/>
          <w:szCs w:val="24"/>
          <w:lang w:val="ru-RU"/>
        </w:rPr>
      </w:pPr>
      <w:bookmarkStart w:id="0" w:name="_GoBack"/>
      <w:r>
        <w:rPr>
          <w:b/>
          <w:sz w:val="24"/>
          <w:szCs w:val="24"/>
          <w:lang w:val="ru-RU"/>
        </w:rPr>
        <w:t xml:space="preserve">Статистика Латвийского Бюро страховщиков транспортных средств (далее </w:t>
      </w:r>
      <w:r>
        <w:rPr>
          <w:b/>
          <w:sz w:val="24"/>
          <w:szCs w:val="24"/>
        </w:rPr>
        <w:t>– LTAB)</w:t>
      </w:r>
      <w:r>
        <w:rPr>
          <w:b/>
          <w:sz w:val="24"/>
          <w:szCs w:val="24"/>
          <w:lang w:val="ru-RU"/>
        </w:rPr>
        <w:t xml:space="preserve"> за последние пять лет свидетельствует, что наиболее часто дорожно-транспортные происшествия (далее – ДТП)</w:t>
      </w:r>
      <w:r w:rsidRPr="00183933">
        <w:rPr>
          <w:b/>
          <w:sz w:val="24"/>
          <w:szCs w:val="24"/>
          <w:lang w:val="ru-RU"/>
        </w:rPr>
        <w:t xml:space="preserve"> на незастрахованном транспортном средстве вызывают автоводители</w:t>
      </w:r>
      <w:r>
        <w:rPr>
          <w:b/>
          <w:sz w:val="24"/>
          <w:szCs w:val="24"/>
          <w:lang w:val="ru-RU"/>
        </w:rPr>
        <w:t xml:space="preserve"> в возрасте от 26 до 35 лет. Анализируя марки незастрахованных транспортных средств, с участием которых наиболее часто происходят ДТП, обнаружилось, что это чаще всего машины марки </w:t>
      </w:r>
      <w:r>
        <w:rPr>
          <w:b/>
          <w:sz w:val="24"/>
          <w:szCs w:val="24"/>
        </w:rPr>
        <w:t>VW</w:t>
      </w:r>
      <w:r>
        <w:rPr>
          <w:b/>
          <w:sz w:val="24"/>
          <w:szCs w:val="24"/>
          <w:lang w:val="ru-RU"/>
        </w:rPr>
        <w:t xml:space="preserve">, в свою очередь, в </w:t>
      </w:r>
      <w:r w:rsidR="005D6953">
        <w:rPr>
          <w:b/>
          <w:sz w:val="24"/>
          <w:szCs w:val="24"/>
          <w:lang w:val="ru-RU"/>
        </w:rPr>
        <w:t xml:space="preserve">отношении </w:t>
      </w:r>
      <w:r>
        <w:rPr>
          <w:b/>
          <w:sz w:val="24"/>
          <w:szCs w:val="24"/>
          <w:lang w:val="ru-RU"/>
        </w:rPr>
        <w:t>возраста машин</w:t>
      </w:r>
      <w:r w:rsidR="005D6953">
        <w:rPr>
          <w:b/>
          <w:sz w:val="24"/>
          <w:szCs w:val="24"/>
          <w:lang w:val="ru-RU"/>
        </w:rPr>
        <w:t>,</w:t>
      </w:r>
      <w:r>
        <w:rPr>
          <w:b/>
          <w:sz w:val="24"/>
          <w:szCs w:val="24"/>
          <w:lang w:val="ru-RU"/>
        </w:rPr>
        <w:t xml:space="preserve"> ДТП без ОСТА обычно происходят при использовании автомобилей, возраст которых 21 год и больше. </w:t>
      </w:r>
      <w:bookmarkEnd w:id="0"/>
    </w:p>
    <w:p w14:paraId="5F0F0CD9" w14:textId="20F579C7" w:rsidR="00183933" w:rsidRPr="0046288D" w:rsidRDefault="00E31CDC" w:rsidP="00C40F73">
      <w:pPr>
        <w:jc w:val="both"/>
      </w:pPr>
      <w:r>
        <w:rPr>
          <w:sz w:val="24"/>
          <w:szCs w:val="24"/>
        </w:rPr>
        <w:t xml:space="preserve">LTAB </w:t>
      </w:r>
      <w:r w:rsidR="00183933">
        <w:rPr>
          <w:sz w:val="24"/>
          <w:szCs w:val="24"/>
          <w:lang w:val="ru-RU"/>
        </w:rPr>
        <w:t>обобщил статистику ДТП, вызванных на незастрахованных транспортных средствах в период с 2012 по 2017* год. Анализируя данные об автоводителях, которые наиболее часто вызывают ДТП на незастрахованных транспортных средствах, обнаружилось, что доминируют более молодые водители – 475 ДТП (или 29%) было вызвано людьми в возрасте 26-35 лет, а 439 происшествий (27%)</w:t>
      </w:r>
      <w:r w:rsidR="006C3E14">
        <w:rPr>
          <w:sz w:val="24"/>
          <w:szCs w:val="24"/>
          <w:lang w:val="ru-RU"/>
        </w:rPr>
        <w:t xml:space="preserve"> – водителям в возрасте 18-25 лет. </w:t>
      </w:r>
    </w:p>
    <w:p w14:paraId="5122A6C1" w14:textId="402630BB" w:rsidR="006C3E14" w:rsidRDefault="0046288D" w:rsidP="006C3E14">
      <w:pPr>
        <w:jc w:val="center"/>
        <w:rPr>
          <w:sz w:val="24"/>
          <w:szCs w:val="24"/>
        </w:rPr>
      </w:pPr>
      <w:r>
        <w:rPr>
          <w:noProof/>
          <w:lang w:eastAsia="lv-LV"/>
        </w:rPr>
        <w:drawing>
          <wp:inline distT="0" distB="0" distL="0" distR="0" wp14:anchorId="14284549" wp14:editId="237879C2">
            <wp:extent cx="6019137" cy="3200400"/>
            <wp:effectExtent l="0" t="0" r="1270" b="0"/>
            <wp:docPr id="7" name="Chart 7">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340DC91" w14:textId="274F7F41" w:rsidR="006C3E14" w:rsidRPr="006C3E14" w:rsidRDefault="006C3E14" w:rsidP="00C40F73">
      <w:pPr>
        <w:jc w:val="both"/>
        <w:rPr>
          <w:sz w:val="24"/>
          <w:szCs w:val="24"/>
          <w:lang w:val="ru-RU"/>
        </w:rPr>
      </w:pPr>
      <w:r w:rsidRPr="006C3E14">
        <w:rPr>
          <w:sz w:val="24"/>
          <w:szCs w:val="24"/>
        </w:rPr>
        <w:t xml:space="preserve">В </w:t>
      </w:r>
      <w:proofErr w:type="spellStart"/>
      <w:r w:rsidRPr="006C3E14">
        <w:rPr>
          <w:sz w:val="24"/>
          <w:szCs w:val="24"/>
        </w:rPr>
        <w:t>отношении</w:t>
      </w:r>
      <w:proofErr w:type="spellEnd"/>
      <w:r w:rsidRPr="006C3E14">
        <w:rPr>
          <w:sz w:val="24"/>
          <w:szCs w:val="24"/>
        </w:rPr>
        <w:t xml:space="preserve"> </w:t>
      </w:r>
      <w:proofErr w:type="spellStart"/>
      <w:r w:rsidRPr="006C3E14">
        <w:rPr>
          <w:sz w:val="24"/>
          <w:szCs w:val="24"/>
        </w:rPr>
        <w:t>возраста</w:t>
      </w:r>
      <w:proofErr w:type="spellEnd"/>
      <w:r w:rsidRPr="006C3E14">
        <w:rPr>
          <w:sz w:val="24"/>
          <w:szCs w:val="24"/>
        </w:rPr>
        <w:t xml:space="preserve"> а</w:t>
      </w:r>
      <w:r>
        <w:rPr>
          <w:sz w:val="24"/>
          <w:szCs w:val="24"/>
          <w:lang w:val="ru-RU"/>
        </w:rPr>
        <w:t>втомобилей, на которых н</w:t>
      </w:r>
      <w:r w:rsidR="00BE6C95">
        <w:rPr>
          <w:sz w:val="24"/>
          <w:szCs w:val="24"/>
          <w:lang w:val="ru-RU"/>
        </w:rPr>
        <w:t>а</w:t>
      </w:r>
      <w:r>
        <w:rPr>
          <w:sz w:val="24"/>
          <w:szCs w:val="24"/>
          <w:lang w:val="ru-RU"/>
        </w:rPr>
        <w:t xml:space="preserve">иболее часто происходят ДТП без действительного полиса ОСТА, в наибольшей группе риска находятся автомобили </w:t>
      </w:r>
      <w:r w:rsidR="00C247FF">
        <w:rPr>
          <w:sz w:val="24"/>
          <w:szCs w:val="24"/>
          <w:lang w:val="ru-RU"/>
        </w:rPr>
        <w:t xml:space="preserve">в возрасте </w:t>
      </w:r>
      <w:r w:rsidR="00BE6C95">
        <w:rPr>
          <w:sz w:val="24"/>
          <w:szCs w:val="24"/>
          <w:lang w:val="ru-RU"/>
        </w:rPr>
        <w:t xml:space="preserve">от </w:t>
      </w:r>
      <w:r w:rsidR="00C247FF">
        <w:rPr>
          <w:sz w:val="24"/>
          <w:szCs w:val="24"/>
          <w:lang w:val="ru-RU"/>
        </w:rPr>
        <w:t>21 года и старше, при использовании которых произошло 756 происшествий (45%), а также авто</w:t>
      </w:r>
      <w:r w:rsidR="00BE6C95">
        <w:rPr>
          <w:sz w:val="24"/>
          <w:szCs w:val="24"/>
          <w:lang w:val="ru-RU"/>
        </w:rPr>
        <w:t>, возраст которых от 16 до 20 лет</w:t>
      </w:r>
      <w:r w:rsidR="00C247FF">
        <w:rPr>
          <w:sz w:val="24"/>
          <w:szCs w:val="24"/>
          <w:lang w:val="ru-RU"/>
        </w:rPr>
        <w:t xml:space="preserve">, </w:t>
      </w:r>
      <w:r w:rsidR="00BE6C95">
        <w:rPr>
          <w:sz w:val="24"/>
          <w:szCs w:val="24"/>
          <w:lang w:val="ru-RU"/>
        </w:rPr>
        <w:t>ставшие виновниками</w:t>
      </w:r>
      <w:r w:rsidR="00C247FF">
        <w:rPr>
          <w:sz w:val="24"/>
          <w:szCs w:val="24"/>
          <w:lang w:val="ru-RU"/>
        </w:rPr>
        <w:t xml:space="preserve"> 495 ДТП (29%). На более новых автомобилях (до 5 лет) без действительного полиса ОСТА было вызвано 25 ДТП, что составляет лишь 2% от общего числа аварий, вызванных на незастрахованных автомобилях. </w:t>
      </w:r>
    </w:p>
    <w:p w14:paraId="0C17A6AB" w14:textId="21CB56E7" w:rsidR="0046288D" w:rsidRPr="0046288D" w:rsidRDefault="0046288D" w:rsidP="0046288D">
      <w:pPr>
        <w:jc w:val="center"/>
        <w:rPr>
          <w:sz w:val="24"/>
          <w:szCs w:val="24"/>
        </w:rPr>
      </w:pPr>
      <w:r>
        <w:rPr>
          <w:noProof/>
          <w:lang w:eastAsia="lv-LV"/>
        </w:rPr>
        <w:lastRenderedPageBreak/>
        <w:drawing>
          <wp:inline distT="0" distB="0" distL="0" distR="0" wp14:anchorId="7D77A727" wp14:editId="708B1A2F">
            <wp:extent cx="6210935" cy="2870200"/>
            <wp:effectExtent l="0" t="0" r="18415" b="6350"/>
            <wp:docPr id="6" name="Chart 6">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A919C4" w14:textId="64D528E3" w:rsidR="00C247FF" w:rsidRPr="00C247FF" w:rsidRDefault="00C247FF" w:rsidP="00C40F73">
      <w:pPr>
        <w:jc w:val="both"/>
        <w:rPr>
          <w:sz w:val="24"/>
          <w:szCs w:val="24"/>
          <w:lang w:val="ru-RU"/>
        </w:rPr>
      </w:pPr>
      <w:r>
        <w:rPr>
          <w:sz w:val="24"/>
          <w:szCs w:val="24"/>
          <w:lang w:val="ru-RU"/>
        </w:rPr>
        <w:t xml:space="preserve">В свою очередь, в отношении марки незастрахованных транспортных средств, на которых наиболее часто вызывают ДТП, доминируют машины марки </w:t>
      </w:r>
      <w:r w:rsidRPr="002104A1">
        <w:rPr>
          <w:sz w:val="24"/>
          <w:szCs w:val="24"/>
        </w:rPr>
        <w:t>VW</w:t>
      </w:r>
      <w:r>
        <w:rPr>
          <w:sz w:val="24"/>
          <w:szCs w:val="24"/>
          <w:lang w:val="ru-RU"/>
        </w:rPr>
        <w:t>. На машинах этой марки без действующего полиса ОСТА было вызвано 282 происшествия, тогда как на</w:t>
      </w:r>
      <w:r>
        <w:rPr>
          <w:sz w:val="24"/>
          <w:szCs w:val="24"/>
        </w:rPr>
        <w:t xml:space="preserve"> BMW</w:t>
      </w:r>
      <w:r>
        <w:rPr>
          <w:sz w:val="24"/>
          <w:szCs w:val="24"/>
          <w:lang w:val="ru-RU"/>
        </w:rPr>
        <w:t xml:space="preserve"> – 225, а на машинах марки </w:t>
      </w:r>
      <w:r>
        <w:rPr>
          <w:sz w:val="24"/>
          <w:szCs w:val="24"/>
        </w:rPr>
        <w:t>Audi</w:t>
      </w:r>
      <w:r>
        <w:rPr>
          <w:sz w:val="24"/>
          <w:szCs w:val="24"/>
          <w:lang w:val="ru-RU"/>
        </w:rPr>
        <w:t xml:space="preserve"> – 224 ДТП. Важно отметить, что </w:t>
      </w:r>
      <w:r w:rsidR="00197330">
        <w:rPr>
          <w:sz w:val="24"/>
          <w:szCs w:val="24"/>
          <w:lang w:val="ru-RU"/>
        </w:rPr>
        <w:t xml:space="preserve">машин этих марок в Латвии зарегистрировано больше всего, поэтому и количество вызванных на них ДТП пропорционально самое большое. </w:t>
      </w:r>
    </w:p>
    <w:p w14:paraId="587AB6F8" w14:textId="15871B7E" w:rsidR="002104A1" w:rsidRPr="00A00448" w:rsidRDefault="00197330" w:rsidP="00C40F73">
      <w:pPr>
        <w:jc w:val="both"/>
        <w:rPr>
          <w:sz w:val="24"/>
          <w:szCs w:val="24"/>
          <w:lang w:val="ru-RU"/>
        </w:rPr>
      </w:pPr>
      <w:r>
        <w:rPr>
          <w:sz w:val="24"/>
          <w:szCs w:val="24"/>
          <w:lang w:val="ru-RU"/>
        </w:rPr>
        <w:t xml:space="preserve">«Если анализировать взаимосвязи в упомянутых данных, можно заключить, что </w:t>
      </w:r>
      <w:r w:rsidRPr="00A00448">
        <w:rPr>
          <w:i/>
          <w:sz w:val="24"/>
          <w:szCs w:val="24"/>
          <w:lang w:val="ru-RU"/>
        </w:rPr>
        <w:t xml:space="preserve">среднестатистический </w:t>
      </w:r>
      <w:r>
        <w:rPr>
          <w:sz w:val="24"/>
          <w:szCs w:val="24"/>
          <w:lang w:val="ru-RU"/>
        </w:rPr>
        <w:t>латвийский автоводитель, вы</w:t>
      </w:r>
      <w:r w:rsidR="00BE6C95">
        <w:rPr>
          <w:sz w:val="24"/>
          <w:szCs w:val="24"/>
          <w:lang w:val="ru-RU"/>
        </w:rPr>
        <w:t>звавший</w:t>
      </w:r>
      <w:r>
        <w:rPr>
          <w:sz w:val="24"/>
          <w:szCs w:val="24"/>
          <w:lang w:val="ru-RU"/>
        </w:rPr>
        <w:t xml:space="preserve"> ДТП без действительного полиса ОСТА, </w:t>
      </w:r>
      <w:r w:rsidR="00A00448">
        <w:rPr>
          <w:sz w:val="24"/>
          <w:szCs w:val="24"/>
          <w:lang w:val="ru-RU"/>
        </w:rPr>
        <w:t>находится в возрасте 36,9 лет</w:t>
      </w:r>
      <w:r w:rsidR="00BE6C95">
        <w:rPr>
          <w:sz w:val="24"/>
          <w:szCs w:val="24"/>
          <w:lang w:val="ru-RU"/>
        </w:rPr>
        <w:t xml:space="preserve"> и</w:t>
      </w:r>
      <w:r w:rsidR="00A00448">
        <w:rPr>
          <w:sz w:val="24"/>
          <w:szCs w:val="24"/>
          <w:lang w:val="ru-RU"/>
        </w:rPr>
        <w:t xml:space="preserve"> вод</w:t>
      </w:r>
      <w:r w:rsidR="00BE6C95">
        <w:rPr>
          <w:sz w:val="24"/>
          <w:szCs w:val="24"/>
          <w:lang w:val="ru-RU"/>
        </w:rPr>
        <w:t>ит</w:t>
      </w:r>
      <w:r w:rsidR="00A00448">
        <w:rPr>
          <w:sz w:val="24"/>
          <w:szCs w:val="24"/>
          <w:lang w:val="ru-RU"/>
        </w:rPr>
        <w:t xml:space="preserve"> автомобиль</w:t>
      </w:r>
      <w:r w:rsidR="00A00448" w:rsidRPr="00A00448">
        <w:rPr>
          <w:sz w:val="24"/>
          <w:szCs w:val="24"/>
          <w:lang w:val="ru-RU"/>
        </w:rPr>
        <w:t xml:space="preserve"> </w:t>
      </w:r>
      <w:r w:rsidR="00A00448">
        <w:rPr>
          <w:sz w:val="24"/>
          <w:szCs w:val="24"/>
          <w:lang w:val="ru-RU"/>
        </w:rPr>
        <w:t xml:space="preserve">марки </w:t>
      </w:r>
      <w:r w:rsidR="00A00448">
        <w:rPr>
          <w:sz w:val="24"/>
          <w:szCs w:val="24"/>
        </w:rPr>
        <w:t>VW</w:t>
      </w:r>
      <w:r w:rsidR="00A00448">
        <w:rPr>
          <w:sz w:val="24"/>
          <w:szCs w:val="24"/>
          <w:lang w:val="ru-RU"/>
        </w:rPr>
        <w:t xml:space="preserve">, которому 19,4 лет», - поясняет Янис Абашин, председатель правления </w:t>
      </w:r>
      <w:r w:rsidR="00A00448">
        <w:rPr>
          <w:sz w:val="24"/>
          <w:szCs w:val="24"/>
        </w:rPr>
        <w:t>LTAB</w:t>
      </w:r>
      <w:r w:rsidR="00A00448">
        <w:rPr>
          <w:sz w:val="24"/>
          <w:szCs w:val="24"/>
          <w:lang w:val="ru-RU"/>
        </w:rPr>
        <w:t xml:space="preserve">. </w:t>
      </w:r>
    </w:p>
    <w:p w14:paraId="03E73E53" w14:textId="6CC47FD1" w:rsidR="00E21F46" w:rsidRPr="00A00448" w:rsidRDefault="00A00448" w:rsidP="00A00448">
      <w:pPr>
        <w:jc w:val="both"/>
        <w:rPr>
          <w:sz w:val="24"/>
          <w:szCs w:val="24"/>
          <w:lang w:val="ru-RU"/>
        </w:rPr>
      </w:pPr>
      <w:r w:rsidRPr="00A00448">
        <w:rPr>
          <w:sz w:val="24"/>
          <w:szCs w:val="24"/>
          <w:lang w:val="ru-RU"/>
        </w:rPr>
        <w:t>В 1997 году в Латвии была введена система ОСТА, цель которой обеспечить защиту интересов третьих лиц, пострадавших в дорожном движении как в Латвии, так в странах-участницах Зеленой карты. Для обеспечения успешной деятельности системы было создано Латвийское Бюро страховщиков Транспортных средств (LTAB), которое объединяет страховые общества, обладающие правом производить страхование ОСТА в Латвии – AAS “Balta”, AAS “Baltijas Apdrošināšanas Nams”, AAS “BTA Baltic Insurance Company”, латвийский филиал ADB “Compensa Vienna Insurance Group”, латвийский филиал SE “ERGO Insurance”, латвийский филиал ADB “Gjensidige”, латвийский филиал AS “If P&amp;C Insurance”, “InterRisk Vienna Insurance Group” AAS, латвийский филиал AS “Seesam Insurance” и латвийский филиал AS “Swedbank P&amp;C Insurance”.</w:t>
      </w:r>
    </w:p>
    <w:p w14:paraId="6CEC8E5E" w14:textId="19860413" w:rsidR="00E31CDC" w:rsidRPr="00E31CDC" w:rsidRDefault="00E31CDC" w:rsidP="00E21F46">
      <w:pPr>
        <w:rPr>
          <w:i/>
        </w:rPr>
      </w:pPr>
      <w:r w:rsidRPr="00E31CDC">
        <w:rPr>
          <w:i/>
        </w:rPr>
        <w:t xml:space="preserve">* </w:t>
      </w:r>
      <w:r w:rsidR="00A00448">
        <w:rPr>
          <w:i/>
          <w:lang w:val="ru-RU"/>
        </w:rPr>
        <w:t>Данные до</w:t>
      </w:r>
      <w:r w:rsidRPr="00E31CDC">
        <w:rPr>
          <w:i/>
        </w:rPr>
        <w:t xml:space="preserve"> 24.10.2017.</w:t>
      </w:r>
    </w:p>
    <w:p w14:paraId="594EAC53" w14:textId="6C0C86D5" w:rsidR="00E21F46" w:rsidRPr="00057CFE" w:rsidRDefault="00A00448" w:rsidP="00057CFE">
      <w:pPr>
        <w:spacing w:after="0" w:line="240" w:lineRule="auto"/>
        <w:jc w:val="right"/>
        <w:rPr>
          <w:i/>
        </w:rPr>
      </w:pPr>
      <w:r>
        <w:rPr>
          <w:i/>
          <w:lang w:val="ru-RU"/>
        </w:rPr>
        <w:t>Информацию подготовил</w:t>
      </w:r>
      <w:r w:rsidR="00E21F46" w:rsidRPr="00057CFE">
        <w:rPr>
          <w:i/>
        </w:rPr>
        <w:t xml:space="preserve">: </w:t>
      </w:r>
    </w:p>
    <w:p w14:paraId="5FADF801" w14:textId="77777777" w:rsidR="00A00448" w:rsidRDefault="00A00448" w:rsidP="00A00448">
      <w:pPr>
        <w:spacing w:after="0" w:line="240" w:lineRule="auto"/>
        <w:contextualSpacing/>
        <w:jc w:val="right"/>
        <w:rPr>
          <w:i/>
          <w:iCs/>
          <w:sz w:val="20"/>
          <w:szCs w:val="20"/>
        </w:rPr>
      </w:pPr>
      <w:proofErr w:type="spellStart"/>
      <w:r>
        <w:rPr>
          <w:i/>
          <w:iCs/>
          <w:sz w:val="20"/>
          <w:szCs w:val="20"/>
        </w:rPr>
        <w:t>Консультант</w:t>
      </w:r>
      <w:proofErr w:type="spellEnd"/>
      <w:r>
        <w:rPr>
          <w:i/>
          <w:iCs/>
          <w:sz w:val="20"/>
          <w:szCs w:val="20"/>
        </w:rPr>
        <w:t xml:space="preserve"> </w:t>
      </w:r>
      <w:proofErr w:type="spellStart"/>
      <w:r>
        <w:rPr>
          <w:i/>
          <w:iCs/>
          <w:sz w:val="20"/>
          <w:szCs w:val="20"/>
        </w:rPr>
        <w:t>по</w:t>
      </w:r>
      <w:proofErr w:type="spellEnd"/>
      <w:r>
        <w:rPr>
          <w:i/>
          <w:iCs/>
          <w:sz w:val="20"/>
          <w:szCs w:val="20"/>
        </w:rPr>
        <w:t xml:space="preserve"> </w:t>
      </w:r>
      <w:proofErr w:type="spellStart"/>
      <w:r>
        <w:rPr>
          <w:i/>
          <w:iCs/>
          <w:sz w:val="20"/>
          <w:szCs w:val="20"/>
        </w:rPr>
        <w:t>связям</w:t>
      </w:r>
      <w:proofErr w:type="spellEnd"/>
      <w:r>
        <w:rPr>
          <w:i/>
          <w:iCs/>
          <w:sz w:val="20"/>
          <w:szCs w:val="20"/>
        </w:rPr>
        <w:t xml:space="preserve"> с </w:t>
      </w:r>
      <w:proofErr w:type="spellStart"/>
      <w:r>
        <w:rPr>
          <w:i/>
          <w:iCs/>
          <w:sz w:val="20"/>
          <w:szCs w:val="20"/>
        </w:rPr>
        <w:t>общественностью</w:t>
      </w:r>
      <w:proofErr w:type="spellEnd"/>
      <w:r>
        <w:rPr>
          <w:i/>
          <w:iCs/>
          <w:sz w:val="20"/>
          <w:szCs w:val="20"/>
        </w:rPr>
        <w:t xml:space="preserve"> LTAB </w:t>
      </w:r>
    </w:p>
    <w:p w14:paraId="30102491" w14:textId="77777777" w:rsidR="00A00448" w:rsidRDefault="00A00448" w:rsidP="00A00448">
      <w:pPr>
        <w:spacing w:after="0" w:line="240" w:lineRule="auto"/>
        <w:contextualSpacing/>
        <w:jc w:val="right"/>
        <w:rPr>
          <w:i/>
          <w:iCs/>
          <w:sz w:val="20"/>
          <w:szCs w:val="20"/>
        </w:rPr>
      </w:pPr>
      <w:proofErr w:type="spellStart"/>
      <w:r>
        <w:rPr>
          <w:i/>
          <w:iCs/>
          <w:sz w:val="20"/>
          <w:szCs w:val="20"/>
        </w:rPr>
        <w:t>Гинтс</w:t>
      </w:r>
      <w:proofErr w:type="spellEnd"/>
      <w:r>
        <w:rPr>
          <w:i/>
          <w:iCs/>
          <w:sz w:val="20"/>
          <w:szCs w:val="20"/>
        </w:rPr>
        <w:t xml:space="preserve"> </w:t>
      </w:r>
      <w:proofErr w:type="spellStart"/>
      <w:r>
        <w:rPr>
          <w:i/>
          <w:iCs/>
          <w:sz w:val="20"/>
          <w:szCs w:val="20"/>
        </w:rPr>
        <w:t>Лаздиньш</w:t>
      </w:r>
      <w:proofErr w:type="spellEnd"/>
    </w:p>
    <w:p w14:paraId="76579F39" w14:textId="77777777" w:rsidR="00A00448" w:rsidRDefault="00A00448" w:rsidP="00A00448">
      <w:pPr>
        <w:spacing w:after="0" w:line="240" w:lineRule="auto"/>
        <w:contextualSpacing/>
        <w:jc w:val="right"/>
        <w:rPr>
          <w:i/>
          <w:iCs/>
          <w:sz w:val="20"/>
          <w:szCs w:val="20"/>
        </w:rPr>
      </w:pPr>
      <w:proofErr w:type="spellStart"/>
      <w:r>
        <w:rPr>
          <w:i/>
          <w:iCs/>
          <w:sz w:val="20"/>
          <w:szCs w:val="20"/>
        </w:rPr>
        <w:t>Тел</w:t>
      </w:r>
      <w:proofErr w:type="spellEnd"/>
      <w:r>
        <w:rPr>
          <w:i/>
          <w:iCs/>
          <w:sz w:val="20"/>
          <w:szCs w:val="20"/>
        </w:rPr>
        <w:t>: +371 29442282, Э-</w:t>
      </w:r>
      <w:proofErr w:type="spellStart"/>
      <w:r>
        <w:rPr>
          <w:i/>
          <w:iCs/>
          <w:sz w:val="20"/>
          <w:szCs w:val="20"/>
        </w:rPr>
        <w:t>почта</w:t>
      </w:r>
      <w:proofErr w:type="spellEnd"/>
      <w:r>
        <w:rPr>
          <w:i/>
          <w:iCs/>
          <w:sz w:val="20"/>
          <w:szCs w:val="20"/>
        </w:rPr>
        <w:t xml:space="preserve">: </w:t>
      </w:r>
      <w:hyperlink r:id="rId9" w:history="1">
        <w:r>
          <w:rPr>
            <w:rStyle w:val="Hyperlink"/>
            <w:sz w:val="20"/>
            <w:szCs w:val="20"/>
          </w:rPr>
          <w:t>gints@olsen.lv</w:t>
        </w:r>
      </w:hyperlink>
    </w:p>
    <w:p w14:paraId="09E46E88" w14:textId="0909FFFB" w:rsidR="00617E51" w:rsidRPr="00E21F46" w:rsidRDefault="00617E51" w:rsidP="00A00448">
      <w:pPr>
        <w:spacing w:after="0" w:line="240" w:lineRule="auto"/>
        <w:jc w:val="right"/>
      </w:pPr>
    </w:p>
    <w:sectPr w:rsidR="00617E51" w:rsidRPr="00E21F46" w:rsidSect="002104A1">
      <w:headerReference w:type="default" r:id="rId10"/>
      <w:footerReference w:type="default" r:id="rId11"/>
      <w:pgSz w:w="11906" w:h="16838"/>
      <w:pgMar w:top="1178" w:right="991" w:bottom="1134" w:left="1134" w:header="426"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05496" w14:textId="77777777" w:rsidR="00EF3A8F" w:rsidRDefault="00EF3A8F" w:rsidP="00C62AF7">
      <w:pPr>
        <w:spacing w:after="0" w:line="240" w:lineRule="auto"/>
      </w:pPr>
      <w:r>
        <w:separator/>
      </w:r>
    </w:p>
  </w:endnote>
  <w:endnote w:type="continuationSeparator" w:id="0">
    <w:p w14:paraId="47FD3C77" w14:textId="77777777" w:rsidR="00EF3A8F" w:rsidRDefault="00EF3A8F"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6E167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20.25pt">
          <v:imagedata r:id="rId1" o:title=""/>
        </v:shape>
        <o:OLEObject Type="Embed" ProgID="CorelDraw.Graphic.17" ShapeID="_x0000_i1026" DrawAspect="Content" ObjectID="_1574151124"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827A8" w14:textId="77777777" w:rsidR="00EF3A8F" w:rsidRDefault="00EF3A8F" w:rsidP="00C62AF7">
      <w:pPr>
        <w:spacing w:after="0" w:line="240" w:lineRule="auto"/>
      </w:pPr>
      <w:r>
        <w:separator/>
      </w:r>
    </w:p>
  </w:footnote>
  <w:footnote w:type="continuationSeparator" w:id="0">
    <w:p w14:paraId="3C54EDA3" w14:textId="77777777" w:rsidR="00EF3A8F" w:rsidRDefault="00EF3A8F"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55E37" w:rsidR="00E9038F" w:rsidRDefault="002104A1">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4pt">
          <v:imagedata r:id="rId1" o:title=""/>
        </v:shape>
        <o:OLEObject Type="Embed" ProgID="CorelDraw.Graphic.17" ShapeID="_x0000_i1025" DrawAspect="Content" ObjectID="_1574151123"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3C1F"/>
    <w:rsid w:val="000146EA"/>
    <w:rsid w:val="000211BE"/>
    <w:rsid w:val="00040165"/>
    <w:rsid w:val="000533E0"/>
    <w:rsid w:val="00057CFE"/>
    <w:rsid w:val="00084B6D"/>
    <w:rsid w:val="00092C8C"/>
    <w:rsid w:val="00092E79"/>
    <w:rsid w:val="00094687"/>
    <w:rsid w:val="000B1DBA"/>
    <w:rsid w:val="000F4764"/>
    <w:rsid w:val="00102D4A"/>
    <w:rsid w:val="00103B45"/>
    <w:rsid w:val="0011042D"/>
    <w:rsid w:val="00144F48"/>
    <w:rsid w:val="00153B22"/>
    <w:rsid w:val="00162149"/>
    <w:rsid w:val="00171015"/>
    <w:rsid w:val="00172BBC"/>
    <w:rsid w:val="001740B2"/>
    <w:rsid w:val="00183933"/>
    <w:rsid w:val="00196DE3"/>
    <w:rsid w:val="00197330"/>
    <w:rsid w:val="001B1813"/>
    <w:rsid w:val="001C65E0"/>
    <w:rsid w:val="001D3B28"/>
    <w:rsid w:val="001D6AEF"/>
    <w:rsid w:val="001E57C6"/>
    <w:rsid w:val="001E71BD"/>
    <w:rsid w:val="002104A1"/>
    <w:rsid w:val="00221376"/>
    <w:rsid w:val="00250F1C"/>
    <w:rsid w:val="00261157"/>
    <w:rsid w:val="00266993"/>
    <w:rsid w:val="0027402E"/>
    <w:rsid w:val="00280754"/>
    <w:rsid w:val="00296F9D"/>
    <w:rsid w:val="002978D6"/>
    <w:rsid w:val="002B0D8B"/>
    <w:rsid w:val="002D5F23"/>
    <w:rsid w:val="002F2970"/>
    <w:rsid w:val="002F353B"/>
    <w:rsid w:val="00332B9B"/>
    <w:rsid w:val="00340F5E"/>
    <w:rsid w:val="003425AA"/>
    <w:rsid w:val="003427E6"/>
    <w:rsid w:val="003437E1"/>
    <w:rsid w:val="003537B5"/>
    <w:rsid w:val="00362517"/>
    <w:rsid w:val="00382C5D"/>
    <w:rsid w:val="003B1D0E"/>
    <w:rsid w:val="003B5F8E"/>
    <w:rsid w:val="003B79AF"/>
    <w:rsid w:val="003D14B9"/>
    <w:rsid w:val="003F0B61"/>
    <w:rsid w:val="0040102A"/>
    <w:rsid w:val="00403AB9"/>
    <w:rsid w:val="00412360"/>
    <w:rsid w:val="00424057"/>
    <w:rsid w:val="00434303"/>
    <w:rsid w:val="0046288D"/>
    <w:rsid w:val="00463942"/>
    <w:rsid w:val="0046482D"/>
    <w:rsid w:val="004665D5"/>
    <w:rsid w:val="00471AE6"/>
    <w:rsid w:val="00472967"/>
    <w:rsid w:val="00482321"/>
    <w:rsid w:val="004827D3"/>
    <w:rsid w:val="004A2480"/>
    <w:rsid w:val="004C32E0"/>
    <w:rsid w:val="004D2161"/>
    <w:rsid w:val="00506CDA"/>
    <w:rsid w:val="00520799"/>
    <w:rsid w:val="00537A74"/>
    <w:rsid w:val="00590ADB"/>
    <w:rsid w:val="005B0F55"/>
    <w:rsid w:val="005B15E8"/>
    <w:rsid w:val="005C6462"/>
    <w:rsid w:val="005D5FB2"/>
    <w:rsid w:val="005D6953"/>
    <w:rsid w:val="005E1FE3"/>
    <w:rsid w:val="005E69F5"/>
    <w:rsid w:val="00603034"/>
    <w:rsid w:val="00617E51"/>
    <w:rsid w:val="0062048F"/>
    <w:rsid w:val="00631974"/>
    <w:rsid w:val="006610B2"/>
    <w:rsid w:val="006A6493"/>
    <w:rsid w:val="006B768B"/>
    <w:rsid w:val="006C3E14"/>
    <w:rsid w:val="006E02BB"/>
    <w:rsid w:val="006E217C"/>
    <w:rsid w:val="006E75CA"/>
    <w:rsid w:val="00713F2D"/>
    <w:rsid w:val="007376C8"/>
    <w:rsid w:val="00780200"/>
    <w:rsid w:val="00784272"/>
    <w:rsid w:val="00795304"/>
    <w:rsid w:val="007B675F"/>
    <w:rsid w:val="007C5ACC"/>
    <w:rsid w:val="007E77E8"/>
    <w:rsid w:val="008278BE"/>
    <w:rsid w:val="00850CCE"/>
    <w:rsid w:val="00867D74"/>
    <w:rsid w:val="00881B76"/>
    <w:rsid w:val="00896D38"/>
    <w:rsid w:val="008D1434"/>
    <w:rsid w:val="00930C25"/>
    <w:rsid w:val="00936462"/>
    <w:rsid w:val="009605DD"/>
    <w:rsid w:val="00964DE9"/>
    <w:rsid w:val="00966515"/>
    <w:rsid w:val="0097040E"/>
    <w:rsid w:val="009722A2"/>
    <w:rsid w:val="00973D97"/>
    <w:rsid w:val="00983AE6"/>
    <w:rsid w:val="009847D7"/>
    <w:rsid w:val="00987FC2"/>
    <w:rsid w:val="00994F2C"/>
    <w:rsid w:val="009A4EFB"/>
    <w:rsid w:val="009F1B6D"/>
    <w:rsid w:val="00A00448"/>
    <w:rsid w:val="00A05754"/>
    <w:rsid w:val="00A122A4"/>
    <w:rsid w:val="00A167B2"/>
    <w:rsid w:val="00A63CE0"/>
    <w:rsid w:val="00A70CDC"/>
    <w:rsid w:val="00A71459"/>
    <w:rsid w:val="00A85B1F"/>
    <w:rsid w:val="00A916C7"/>
    <w:rsid w:val="00A9616D"/>
    <w:rsid w:val="00AA11DB"/>
    <w:rsid w:val="00AB1AE2"/>
    <w:rsid w:val="00AC5BF5"/>
    <w:rsid w:val="00AD2F7E"/>
    <w:rsid w:val="00AE1616"/>
    <w:rsid w:val="00AE3928"/>
    <w:rsid w:val="00AF7CF9"/>
    <w:rsid w:val="00B100D8"/>
    <w:rsid w:val="00B31BA0"/>
    <w:rsid w:val="00B4085E"/>
    <w:rsid w:val="00B50CBA"/>
    <w:rsid w:val="00B5195D"/>
    <w:rsid w:val="00B57A8D"/>
    <w:rsid w:val="00B9680B"/>
    <w:rsid w:val="00BB784E"/>
    <w:rsid w:val="00BC25C6"/>
    <w:rsid w:val="00BC6C58"/>
    <w:rsid w:val="00BE1131"/>
    <w:rsid w:val="00BE6C95"/>
    <w:rsid w:val="00BF4CE5"/>
    <w:rsid w:val="00C07C07"/>
    <w:rsid w:val="00C12FDC"/>
    <w:rsid w:val="00C247FF"/>
    <w:rsid w:val="00C40F73"/>
    <w:rsid w:val="00C42877"/>
    <w:rsid w:val="00C62AF7"/>
    <w:rsid w:val="00C80E9A"/>
    <w:rsid w:val="00C91CFB"/>
    <w:rsid w:val="00CC1D83"/>
    <w:rsid w:val="00D01223"/>
    <w:rsid w:val="00D01457"/>
    <w:rsid w:val="00D05616"/>
    <w:rsid w:val="00D05A63"/>
    <w:rsid w:val="00D356F9"/>
    <w:rsid w:val="00D64EA4"/>
    <w:rsid w:val="00DB4A01"/>
    <w:rsid w:val="00E21F46"/>
    <w:rsid w:val="00E23A71"/>
    <w:rsid w:val="00E31CDC"/>
    <w:rsid w:val="00E537C3"/>
    <w:rsid w:val="00E6367A"/>
    <w:rsid w:val="00E730A3"/>
    <w:rsid w:val="00E8391D"/>
    <w:rsid w:val="00E9038F"/>
    <w:rsid w:val="00E91AD3"/>
    <w:rsid w:val="00EA42C0"/>
    <w:rsid w:val="00EC046F"/>
    <w:rsid w:val="00EC201D"/>
    <w:rsid w:val="00EC50B3"/>
    <w:rsid w:val="00EF3A8F"/>
    <w:rsid w:val="00F1514F"/>
    <w:rsid w:val="00F16ADC"/>
    <w:rsid w:val="00F2284B"/>
    <w:rsid w:val="00F3262F"/>
    <w:rsid w:val="00F50FC6"/>
    <w:rsid w:val="00F60868"/>
    <w:rsid w:val="00F72968"/>
    <w:rsid w:val="00F920A2"/>
    <w:rsid w:val="00F93E1C"/>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CF0BF4DC-E0BC-477C-AC67-69784C1A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paragraph" w:styleId="NormalWeb">
    <w:name w:val="Normal (Web)"/>
    <w:basedOn w:val="Normal"/>
    <w:uiPriority w:val="99"/>
    <w:semiHidden/>
    <w:unhideWhenUsed/>
    <w:rsid w:val="0046288D"/>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097035">
      <w:bodyDiv w:val="1"/>
      <w:marLeft w:val="0"/>
      <w:marRight w:val="0"/>
      <w:marTop w:val="0"/>
      <w:marBottom w:val="0"/>
      <w:divBdr>
        <w:top w:val="none" w:sz="0" w:space="0" w:color="auto"/>
        <w:left w:val="none" w:sz="0" w:space="0" w:color="auto"/>
        <w:bottom w:val="none" w:sz="0" w:space="0" w:color="auto"/>
        <w:right w:val="none" w:sz="0" w:space="0" w:color="auto"/>
      </w:divBdr>
    </w:div>
    <w:div w:id="1036469073">
      <w:bodyDiv w:val="1"/>
      <w:marLeft w:val="0"/>
      <w:marRight w:val="0"/>
      <w:marTop w:val="0"/>
      <w:marBottom w:val="0"/>
      <w:divBdr>
        <w:top w:val="none" w:sz="0" w:space="0" w:color="auto"/>
        <w:left w:val="none" w:sz="0" w:space="0" w:color="auto"/>
        <w:bottom w:val="none" w:sz="0" w:space="0" w:color="auto"/>
        <w:right w:val="none" w:sz="0" w:space="0" w:color="auto"/>
      </w:divBdr>
    </w:div>
    <w:div w:id="1135098475">
      <w:bodyDiv w:val="1"/>
      <w:marLeft w:val="0"/>
      <w:marRight w:val="0"/>
      <w:marTop w:val="0"/>
      <w:marBottom w:val="0"/>
      <w:divBdr>
        <w:top w:val="none" w:sz="0" w:space="0" w:color="auto"/>
        <w:left w:val="none" w:sz="0" w:space="0" w:color="auto"/>
        <w:bottom w:val="none" w:sz="0" w:space="0" w:color="auto"/>
        <w:right w:val="none" w:sz="0" w:space="0" w:color="auto"/>
      </w:divBdr>
    </w:div>
    <w:div w:id="1752120478">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ints@olsen.lv"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A.W.%20Olsen\AppData\Local\Microsoft\Windows\INetCache\Content.Outlook\KB9PV51S\Neapdr%20markas%20vecum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W.%20Olsen\AppData\Local\Microsoft\Windows\INetCache\Content.Outlook\KB9PV51S\Neapdr%20markas%20vecum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lgn="l">
              <a:defRPr/>
            </a:pPr>
            <a:r>
              <a:rPr lang="ru-RU" sz="1400" b="1">
                <a:effectLst/>
              </a:rPr>
              <a:t>Возраст водителя, вызвавшего ДТП, не обладая при этом полисом ОСТА</a:t>
            </a:r>
            <a:endParaRPr lang="lv-LV" sz="1400">
              <a:effectLst/>
            </a:endParaRPr>
          </a:p>
        </c:rich>
      </c:tx>
      <c:layout>
        <c:manualLayout>
          <c:xMode val="edge"/>
          <c:yMode val="edge"/>
          <c:x val="6.1304317249841753E-4"/>
          <c:y val="1.4015134424951408E-2"/>
        </c:manualLayout>
      </c:layout>
      <c:overlay val="1"/>
    </c:title>
    <c:autoTitleDeleted val="0"/>
    <c:view3D>
      <c:rotX val="30"/>
      <c:rotY val="80"/>
      <c:rAngAx val="0"/>
    </c:view3D>
    <c:floor>
      <c:thickness val="0"/>
    </c:floor>
    <c:sideWall>
      <c:thickness val="0"/>
    </c:sideWall>
    <c:backWall>
      <c:thickness val="0"/>
    </c:backWall>
    <c:plotArea>
      <c:layout>
        <c:manualLayout>
          <c:layoutTarget val="inner"/>
          <c:xMode val="edge"/>
          <c:yMode val="edge"/>
          <c:x val="0.11790653516631948"/>
          <c:y val="0.3191118586683655"/>
          <c:w val="0.84289071195943444"/>
          <c:h val="0.68088814133163444"/>
        </c:manualLayout>
      </c:layout>
      <c:pie3DChart>
        <c:varyColors val="1"/>
        <c:ser>
          <c:idx val="0"/>
          <c:order val="0"/>
          <c:explosion val="25"/>
          <c:dLbls>
            <c:dLbl>
              <c:idx val="0"/>
              <c:layout>
                <c:manualLayout>
                  <c:x val="-9.4318855304377277E-3"/>
                  <c:y val="3.7268025154715723E-2"/>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F21-4957-8029-CD6442CB007D}"/>
                </c:ext>
              </c:extLst>
            </c:dLbl>
            <c:dLbl>
              <c:idx val="1"/>
              <c:layout>
                <c:manualLayout>
                  <c:x val="2.1916395347942211E-3"/>
                  <c:y val="-2.5078361652354665E-4"/>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F21-4957-8029-CD6442CB007D}"/>
                </c:ext>
              </c:extLst>
            </c:dLbl>
            <c:dLbl>
              <c:idx val="2"/>
              <c:layout>
                <c:manualLayout>
                  <c:x val="0"/>
                  <c:y val="-6.4667287153164941E-3"/>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F21-4957-8029-CD6442CB007D}"/>
                </c:ext>
              </c:extLst>
            </c:dLbl>
            <c:dLbl>
              <c:idx val="3"/>
              <c:layout>
                <c:manualLayout>
                  <c:x val="-3.8801579421340666E-2"/>
                  <c:y val="-1.5359344618815485E-2"/>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F21-4957-8029-CD6442CB007D}"/>
                </c:ext>
              </c:extLst>
            </c:dLbl>
            <c:dLbl>
              <c:idx val="4"/>
              <c:layout>
                <c:manualLayout>
                  <c:x val="7.5176453383209822E-3"/>
                  <c:y val="-0.12742308973314256"/>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DF21-4957-8029-CD6442CB007D}"/>
                </c:ext>
              </c:extLst>
            </c:dLbl>
            <c:spPr>
              <a:noFill/>
              <a:ln>
                <a:noFill/>
              </a:ln>
              <a:effectLst/>
            </c:spPr>
            <c:showLegendKey val="1"/>
            <c:showVal val="0"/>
            <c:showCatName val="1"/>
            <c:showSerName val="0"/>
            <c:showPercent val="1"/>
            <c:showBubbleSize val="0"/>
            <c:showLeaderLines val="1"/>
            <c:extLst>
              <c:ext xmlns:c15="http://schemas.microsoft.com/office/drawing/2012/chart" uri="{CE6537A1-D6FC-4f65-9D91-7224C49458BB}"/>
            </c:extLst>
          </c:dLbls>
          <c:cat>
            <c:strRef>
              <c:f>'[Neapdr markas vecums.xlsx]Kopsavilkums'!$B$33:$H$33</c:f>
              <c:strCache>
                <c:ptCount val="7"/>
                <c:pt idx="0">
                  <c:v>До 17 лет (вкл.)</c:v>
                </c:pt>
                <c:pt idx="1">
                  <c:v>18 - 25  (вкл.)</c:v>
                </c:pt>
                <c:pt idx="2">
                  <c:v>26 - 35 (вкл.)</c:v>
                </c:pt>
                <c:pt idx="3">
                  <c:v>36 - 45 (вкл.)</c:v>
                </c:pt>
                <c:pt idx="4">
                  <c:v>46 - 55 (вкл.)</c:v>
                </c:pt>
                <c:pt idx="5">
                  <c:v>56 - 65 (вкл.)</c:v>
                </c:pt>
                <c:pt idx="6">
                  <c:v>66 + (вкл.)</c:v>
                </c:pt>
              </c:strCache>
            </c:strRef>
          </c:cat>
          <c:val>
            <c:numRef>
              <c:f>'[Neapdr markas vecums.xlsx]Kopsavilkums'!$B$34:$H$34</c:f>
              <c:numCache>
                <c:formatCode>General</c:formatCode>
                <c:ptCount val="7"/>
                <c:pt idx="0">
                  <c:v>21</c:v>
                </c:pt>
                <c:pt idx="1">
                  <c:v>439</c:v>
                </c:pt>
                <c:pt idx="2">
                  <c:v>475</c:v>
                </c:pt>
                <c:pt idx="3">
                  <c:v>285</c:v>
                </c:pt>
                <c:pt idx="4">
                  <c:v>203</c:v>
                </c:pt>
                <c:pt idx="5">
                  <c:v>112</c:v>
                </c:pt>
                <c:pt idx="6">
                  <c:v>103</c:v>
                </c:pt>
              </c:numCache>
            </c:numRef>
          </c:val>
          <c:extLst>
            <c:ext xmlns:c16="http://schemas.microsoft.com/office/drawing/2014/chart" uri="{C3380CC4-5D6E-409C-BE32-E72D297353CC}">
              <c16:uniqueId val="{00000005-DF21-4957-8029-CD6442CB007D}"/>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lgn="ctr">
              <a:defRPr/>
            </a:pPr>
            <a:r>
              <a:rPr lang="ru-RU" sz="1400" b="1">
                <a:effectLst/>
              </a:rPr>
              <a:t>Возраст незастрахованных автомобилей, на которых были вызваны ДТП</a:t>
            </a:r>
            <a:endParaRPr lang="lv-LV" sz="1400">
              <a:effectLst/>
            </a:endParaRPr>
          </a:p>
        </c:rich>
      </c:tx>
      <c:layout>
        <c:manualLayout>
          <c:xMode val="edge"/>
          <c:yMode val="edge"/>
          <c:x val="0.11322965060816124"/>
          <c:y val="1.0528883004668663E-3"/>
        </c:manualLayout>
      </c:layout>
      <c:overlay val="1"/>
    </c:title>
    <c:autoTitleDeleted val="0"/>
    <c:view3D>
      <c:rotX val="30"/>
      <c:rotY val="0"/>
      <c:rAngAx val="0"/>
    </c:view3D>
    <c:floor>
      <c:thickness val="0"/>
    </c:floor>
    <c:sideWall>
      <c:thickness val="0"/>
    </c:sideWall>
    <c:backWall>
      <c:thickness val="0"/>
    </c:backWall>
    <c:plotArea>
      <c:layout>
        <c:manualLayout>
          <c:layoutTarget val="inner"/>
          <c:xMode val="edge"/>
          <c:yMode val="edge"/>
          <c:x val="0.10525162475537098"/>
          <c:y val="0.3254870740714933"/>
          <c:w val="0.71242333078674946"/>
          <c:h val="0.62916974426869221"/>
        </c:manualLayout>
      </c:layout>
      <c:pie3DChart>
        <c:varyColors val="1"/>
        <c:ser>
          <c:idx val="0"/>
          <c:order val="0"/>
          <c:explosion val="27"/>
          <c:dLbls>
            <c:dLbl>
              <c:idx val="0"/>
              <c:layout>
                <c:manualLayout>
                  <c:x val="-5.6352706644807231E-2"/>
                  <c:y val="-1.2888698149993615E-2"/>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51C-4EBE-86E4-A0550B2A23AB}"/>
                </c:ext>
              </c:extLst>
            </c:dLbl>
            <c:dLbl>
              <c:idx val="3"/>
              <c:layout>
                <c:manualLayout>
                  <c:x val="1.5939378545423759E-2"/>
                  <c:y val="-1.5359344618815485E-2"/>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51C-4EBE-86E4-A0550B2A23AB}"/>
                </c:ext>
              </c:extLst>
            </c:dLbl>
            <c:dLbl>
              <c:idx val="4"/>
              <c:layout>
                <c:manualLayout>
                  <c:x val="7.5176453383209822E-3"/>
                  <c:y val="-0.12742308973314256"/>
                </c:manualLayout>
              </c:layou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51C-4EBE-86E4-A0550B2A23AB}"/>
                </c:ext>
              </c:extLst>
            </c:dLbl>
            <c:spPr>
              <a:noFill/>
              <a:ln>
                <a:noFill/>
              </a:ln>
              <a:effectLst/>
            </c:spPr>
            <c:showLegendKey val="1"/>
            <c:showVal val="0"/>
            <c:showCatName val="1"/>
            <c:showSerName val="0"/>
            <c:showPercent val="1"/>
            <c:showBubbleSize val="0"/>
            <c:showLeaderLines val="1"/>
            <c:extLst>
              <c:ext xmlns:c15="http://schemas.microsoft.com/office/drawing/2012/chart" uri="{CE6537A1-D6FC-4f65-9D91-7224C49458BB}"/>
            </c:extLst>
          </c:dLbls>
          <c:cat>
            <c:strRef>
              <c:f>'[Neapdr markas vecums.xlsx]Kopsavilkums'!$B$9:$F$9</c:f>
              <c:strCache>
                <c:ptCount val="5"/>
                <c:pt idx="0">
                  <c:v>0 - 5 лет (вкл.)</c:v>
                </c:pt>
                <c:pt idx="1">
                  <c:v>6 - 10 лет (вкл)</c:v>
                </c:pt>
                <c:pt idx="2">
                  <c:v>11 - 15 лет (вкл.)</c:v>
                </c:pt>
                <c:pt idx="3">
                  <c:v>16 - 20 лет (вкл.)</c:v>
                </c:pt>
                <c:pt idx="4">
                  <c:v>21 + лет (вкл.)</c:v>
                </c:pt>
              </c:strCache>
            </c:strRef>
          </c:cat>
          <c:val>
            <c:numRef>
              <c:f>'[Neapdr markas vecums.xlsx]Kopsavilkums'!$B$10:$F$10</c:f>
              <c:numCache>
                <c:formatCode>General</c:formatCode>
                <c:ptCount val="5"/>
                <c:pt idx="0">
                  <c:v>25</c:v>
                </c:pt>
                <c:pt idx="1">
                  <c:v>114</c:v>
                </c:pt>
                <c:pt idx="2">
                  <c:v>294</c:v>
                </c:pt>
                <c:pt idx="3">
                  <c:v>495</c:v>
                </c:pt>
                <c:pt idx="4">
                  <c:v>756</c:v>
                </c:pt>
              </c:numCache>
            </c:numRef>
          </c:val>
          <c:extLst>
            <c:ext xmlns:c16="http://schemas.microsoft.com/office/drawing/2014/chart" uri="{C3380CC4-5D6E-409C-BE32-E72D297353CC}">
              <c16:uniqueId val="{00000003-051C-4EBE-86E4-A0550B2A23AB}"/>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E838B-F7F5-444A-896E-923B23DB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2124</Words>
  <Characters>1212</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2017-12-07T09:26:00Z</dcterms:created>
  <dcterms:modified xsi:type="dcterms:W3CDTF">2017-12-07T09:26:00Z</dcterms:modified>
</cp:coreProperties>
</file>