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41B06B68" w:rsidR="00E21F46" w:rsidRDefault="00FE0350" w:rsidP="00E21F46">
      <w:pPr>
        <w:spacing w:after="0" w:line="240" w:lineRule="auto"/>
        <w:jc w:val="right"/>
        <w:rPr>
          <w:sz w:val="20"/>
          <w:szCs w:val="20"/>
        </w:rPr>
      </w:pPr>
      <w:r>
        <w:rPr>
          <w:sz w:val="20"/>
          <w:szCs w:val="20"/>
        </w:rPr>
        <w:t>28</w:t>
      </w:r>
      <w:r w:rsidR="007E77E8" w:rsidRPr="0063036D">
        <w:rPr>
          <w:sz w:val="20"/>
          <w:szCs w:val="20"/>
        </w:rPr>
        <w:t>.</w:t>
      </w:r>
      <w:r w:rsidR="00080743" w:rsidRPr="0063036D">
        <w:rPr>
          <w:sz w:val="20"/>
          <w:szCs w:val="20"/>
        </w:rPr>
        <w:t>0</w:t>
      </w:r>
      <w:r w:rsidR="009D0A59">
        <w:rPr>
          <w:sz w:val="20"/>
          <w:szCs w:val="20"/>
        </w:rPr>
        <w:t>4</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46AF5C61" w:rsidR="00C7196C" w:rsidRDefault="00C7196C" w:rsidP="00F43CA6">
      <w:pPr>
        <w:spacing w:after="0" w:line="240" w:lineRule="auto"/>
        <w:jc w:val="both"/>
        <w:rPr>
          <w:b/>
          <w:bCs/>
          <w:sz w:val="28"/>
          <w:szCs w:val="28"/>
        </w:rPr>
      </w:pPr>
      <w:proofErr w:type="spellStart"/>
      <w:r>
        <w:rPr>
          <w:b/>
          <w:bCs/>
          <w:sz w:val="28"/>
          <w:szCs w:val="28"/>
        </w:rPr>
        <w:t>CSNg</w:t>
      </w:r>
      <w:proofErr w:type="spellEnd"/>
      <w:r>
        <w:rPr>
          <w:b/>
          <w:bCs/>
          <w:sz w:val="28"/>
          <w:szCs w:val="28"/>
        </w:rPr>
        <w:t xml:space="preserve"> izraisīšanā bez OCTA dominē mazlitrāžas </w:t>
      </w:r>
      <w:proofErr w:type="spellStart"/>
      <w:r>
        <w:rPr>
          <w:b/>
          <w:bCs/>
          <w:sz w:val="28"/>
          <w:szCs w:val="28"/>
        </w:rPr>
        <w:t>mototransportlīdzekļi</w:t>
      </w:r>
      <w:proofErr w:type="spellEnd"/>
    </w:p>
    <w:p w14:paraId="5077CCC1" w14:textId="77777777" w:rsidR="00C7196C" w:rsidRDefault="00C7196C" w:rsidP="00F43CA6">
      <w:pPr>
        <w:spacing w:after="0" w:line="240" w:lineRule="auto"/>
        <w:jc w:val="both"/>
        <w:rPr>
          <w:b/>
        </w:rPr>
      </w:pPr>
    </w:p>
    <w:p w14:paraId="6C7F6A94" w14:textId="34200001" w:rsidR="00F43CA6" w:rsidRPr="00F43CA6" w:rsidRDefault="00F43CA6" w:rsidP="00F43CA6">
      <w:pPr>
        <w:spacing w:after="0" w:line="240" w:lineRule="auto"/>
        <w:jc w:val="both"/>
        <w:rPr>
          <w:b/>
        </w:rPr>
      </w:pPr>
      <w:bookmarkStart w:id="1" w:name="_GoBack"/>
      <w:r w:rsidRPr="00F43CA6">
        <w:rPr>
          <w:b/>
        </w:rPr>
        <w:t xml:space="preserve">Latvijas Transportlīdzekļu apdrošinātāju biroja (turpmāk – LTAB) apkopotā statistika par </w:t>
      </w:r>
      <w:proofErr w:type="gramStart"/>
      <w:r w:rsidRPr="00F43CA6">
        <w:rPr>
          <w:b/>
        </w:rPr>
        <w:t>2013. – 2017.</w:t>
      </w:r>
      <w:proofErr w:type="gramEnd"/>
      <w:r w:rsidRPr="00F43CA6">
        <w:rPr>
          <w:b/>
        </w:rPr>
        <w:t xml:space="preserve">gadu liecina, ka starp visiem neapdrošinātajiem </w:t>
      </w:r>
      <w:proofErr w:type="spellStart"/>
      <w:r w:rsidRPr="00F43CA6">
        <w:rPr>
          <w:b/>
        </w:rPr>
        <w:t>mototransportlīdzekļiem</w:t>
      </w:r>
      <w:proofErr w:type="spellEnd"/>
      <w:r w:rsidRPr="00F43CA6">
        <w:rPr>
          <w:b/>
        </w:rPr>
        <w:t xml:space="preserve">, ar kuriem izraisīti </w:t>
      </w:r>
      <w:proofErr w:type="spellStart"/>
      <w:r w:rsidRPr="00F43CA6">
        <w:rPr>
          <w:b/>
        </w:rPr>
        <w:t>CSNg</w:t>
      </w:r>
      <w:proofErr w:type="spellEnd"/>
      <w:r w:rsidRPr="00F43CA6">
        <w:rPr>
          <w:b/>
        </w:rPr>
        <w:t xml:space="preserve">, pārliecinoši dominē mazlitrāžas (līdz 50 cm3) spēkrati. No pēdējos piecos gados notikušajiem 102 gadījumiem, ko izraisījuši neapdrošināti </w:t>
      </w:r>
      <w:proofErr w:type="spellStart"/>
      <w:r w:rsidRPr="00F43CA6">
        <w:rPr>
          <w:b/>
        </w:rPr>
        <w:t>mototransportlīdzekļi</w:t>
      </w:r>
      <w:proofErr w:type="spellEnd"/>
      <w:r w:rsidRPr="00F43CA6">
        <w:rPr>
          <w:b/>
        </w:rPr>
        <w:t>, lielākajā daļā (54,9%) vainojami mazlitrāžas motocikli vai mopēdi. “Šī ir ļoti svarīga atziņa, kas apliecina, ka daudz</w:t>
      </w:r>
      <w:r w:rsidR="001768A2">
        <w:rPr>
          <w:b/>
        </w:rPr>
        <w:t>u</w:t>
      </w:r>
      <w:r w:rsidRPr="00F43CA6">
        <w:rPr>
          <w:b/>
        </w:rPr>
        <w:t xml:space="preserve"> mazlitrāžas </w:t>
      </w:r>
      <w:proofErr w:type="spellStart"/>
      <w:r w:rsidRPr="00F43CA6">
        <w:rPr>
          <w:b/>
        </w:rPr>
        <w:t>mototransportlīdzekļu</w:t>
      </w:r>
      <w:proofErr w:type="spellEnd"/>
      <w:r w:rsidRPr="00F43CA6">
        <w:rPr>
          <w:b/>
        </w:rPr>
        <w:t xml:space="preserve"> vadītāji joprojām</w:t>
      </w:r>
      <w:r w:rsidR="00953B8C">
        <w:rPr>
          <w:b/>
        </w:rPr>
        <w:t xml:space="preserve"> aizmirst,</w:t>
      </w:r>
      <w:r w:rsidRPr="00F43CA6">
        <w:rPr>
          <w:b/>
        </w:rPr>
        <w:t xml:space="preserve"> nezina vai ļaunprātīgi ignorē to, ka kopš </w:t>
      </w:r>
      <w:proofErr w:type="gramStart"/>
      <w:r w:rsidRPr="00F43CA6">
        <w:rPr>
          <w:b/>
        </w:rPr>
        <w:t>2011.gada</w:t>
      </w:r>
      <w:proofErr w:type="gramEnd"/>
      <w:r w:rsidRPr="00F43CA6">
        <w:rPr>
          <w:b/>
        </w:rPr>
        <w:t xml:space="preserve"> arī šādiem spēkratiem jāiegādājas OCTA,” skaidro LTAB valdes priekšsēdētājs Jānis Abāšins.</w:t>
      </w:r>
    </w:p>
    <w:bookmarkEnd w:id="1"/>
    <w:p w14:paraId="38652566" w14:textId="4D5E8737" w:rsidR="00F0210F" w:rsidRDefault="00F0210F" w:rsidP="00F43CA6">
      <w:pPr>
        <w:spacing w:after="0" w:line="240" w:lineRule="auto"/>
        <w:jc w:val="both"/>
      </w:pPr>
    </w:p>
    <w:p w14:paraId="26F669F6" w14:textId="54B86CC2" w:rsidR="00F0210F" w:rsidRDefault="00F0210F" w:rsidP="00F0210F">
      <w:pPr>
        <w:spacing w:after="0" w:line="240" w:lineRule="auto"/>
        <w:jc w:val="both"/>
      </w:pPr>
      <w:proofErr w:type="gramStart"/>
      <w:r>
        <w:t>2017.gadā</w:t>
      </w:r>
      <w:proofErr w:type="gramEnd"/>
      <w:r>
        <w:t xml:space="preserve"> ar neapdrošinātu </w:t>
      </w:r>
      <w:proofErr w:type="spellStart"/>
      <w:r>
        <w:t>mototransportlīdzekli</w:t>
      </w:r>
      <w:proofErr w:type="spellEnd"/>
      <w:r>
        <w:t xml:space="preserve"> kopumā izraisīti 25 negadījumi, kas ir otrs lielākais skaits pēdējo piecu gadu laikā. “Lai arī </w:t>
      </w:r>
      <w:r w:rsidR="00F4643E">
        <w:t xml:space="preserve">kopējais </w:t>
      </w:r>
      <w:proofErr w:type="spellStart"/>
      <w:r w:rsidR="00F4643E">
        <w:t>CSNg</w:t>
      </w:r>
      <w:proofErr w:type="spellEnd"/>
      <w:r w:rsidR="00F4643E">
        <w:t xml:space="preserve"> skaits</w:t>
      </w:r>
      <w:r>
        <w:t xml:space="preserve">, kuru izraisītājs bijis motocikla vai mopēda vadītājs, pēdējos gados </w:t>
      </w:r>
      <w:r w:rsidR="00F4643E">
        <w:t>samazinās</w:t>
      </w:r>
      <w:r>
        <w:t xml:space="preserve">, tomēr joprojām, īpaši </w:t>
      </w:r>
      <w:proofErr w:type="spellStart"/>
      <w:r>
        <w:t>motosezonas</w:t>
      </w:r>
      <w:proofErr w:type="spellEnd"/>
      <w:r>
        <w:t xml:space="preserve"> sākumā, novērojam motobraucēju vieglprātību attiecībā uz savas atbildības apdrošināšanu,” skaidro J.Abāšins</w:t>
      </w:r>
      <w:r w:rsidR="001768A2">
        <w:t xml:space="preserve">, piebilstot, ka šogad (līdz </w:t>
      </w:r>
      <w:proofErr w:type="gramStart"/>
      <w:r w:rsidR="001768A2">
        <w:t>25.aprīlim</w:t>
      </w:r>
      <w:proofErr w:type="gramEnd"/>
      <w:r w:rsidR="001768A2">
        <w:t xml:space="preserve">) jau reģistrēti 4 </w:t>
      </w:r>
      <w:proofErr w:type="spellStart"/>
      <w:r w:rsidR="001768A2">
        <w:t>CSNg</w:t>
      </w:r>
      <w:proofErr w:type="spellEnd"/>
      <w:r w:rsidR="001768A2">
        <w:t xml:space="preserve">, ko izraisījis neapdrošināts </w:t>
      </w:r>
      <w:proofErr w:type="spellStart"/>
      <w:r w:rsidR="001768A2">
        <w:t>mototransportlīdzeklis</w:t>
      </w:r>
      <w:proofErr w:type="spellEnd"/>
      <w:r>
        <w:t>.</w:t>
      </w:r>
    </w:p>
    <w:p w14:paraId="33048033" w14:textId="060973A1" w:rsidR="00F0210F" w:rsidRDefault="00F0210F" w:rsidP="00F0210F">
      <w:pPr>
        <w:spacing w:after="0" w:line="240" w:lineRule="auto"/>
        <w:jc w:val="both"/>
      </w:pPr>
    </w:p>
    <w:p w14:paraId="4C857B56" w14:textId="181FC1BF" w:rsidR="00F4643E" w:rsidRDefault="00F4643E" w:rsidP="00F0210F">
      <w:pPr>
        <w:spacing w:after="0" w:line="240" w:lineRule="auto"/>
        <w:jc w:val="both"/>
      </w:pPr>
      <w:r>
        <w:rPr>
          <w:noProof/>
          <w:lang w:eastAsia="lv-LV"/>
        </w:rPr>
        <w:drawing>
          <wp:inline distT="0" distB="0" distL="0" distR="0" wp14:anchorId="63DD3EDC" wp14:editId="040717A6">
            <wp:extent cx="6411595" cy="1803400"/>
            <wp:effectExtent l="0" t="0" r="8255" b="6350"/>
            <wp:docPr id="2" name="Chart 2">
              <a:extLst xmlns:a="http://schemas.openxmlformats.org/drawingml/2006/main">
                <a:ext uri="{FF2B5EF4-FFF2-40B4-BE49-F238E27FC236}">
                  <a16:creationId xmlns:a16="http://schemas.microsoft.com/office/drawing/2014/main" id="{E9645D27-7356-4DB5-9569-223BF3F2F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54DB9E" w14:textId="0153CFEB" w:rsidR="00F4643E" w:rsidRDefault="00F4643E" w:rsidP="00F0210F">
      <w:pPr>
        <w:spacing w:after="0" w:line="240" w:lineRule="auto"/>
        <w:jc w:val="both"/>
      </w:pPr>
    </w:p>
    <w:p w14:paraId="4360FA49" w14:textId="135AECF5" w:rsidR="00C57A0D" w:rsidRPr="00F43CA6" w:rsidRDefault="00FE0350" w:rsidP="00F43CA6">
      <w:pPr>
        <w:spacing w:after="0" w:line="240" w:lineRule="auto"/>
        <w:jc w:val="both"/>
      </w:pPr>
      <w:r w:rsidRPr="00F43CA6">
        <w:t xml:space="preserve">Kā liecina </w:t>
      </w:r>
      <w:r w:rsidR="00F4643E">
        <w:t>LTAB</w:t>
      </w:r>
      <w:r w:rsidRPr="00F43CA6">
        <w:t xml:space="preserve"> dati par </w:t>
      </w:r>
      <w:proofErr w:type="gramStart"/>
      <w:r w:rsidRPr="00F43CA6">
        <w:t>2013. – 2017.</w:t>
      </w:r>
      <w:proofErr w:type="gramEnd"/>
      <w:r w:rsidRPr="00F43CA6">
        <w:t xml:space="preserve">gadu, visbiežāk </w:t>
      </w:r>
      <w:r w:rsidR="00C02356" w:rsidRPr="00F43CA6">
        <w:t xml:space="preserve">ar neapdrošinātu </w:t>
      </w:r>
      <w:proofErr w:type="spellStart"/>
      <w:r w:rsidR="00C02356" w:rsidRPr="00F43CA6">
        <w:t>mototransportlīdzekli</w:t>
      </w:r>
      <w:proofErr w:type="spellEnd"/>
      <w:r w:rsidR="00C02356" w:rsidRPr="00F43CA6">
        <w:t xml:space="preserve"> ceļu satiksmes negadījumus izraisījuši 25 – 40 gadus veci vadītāji, kuri braukuši ar </w:t>
      </w:r>
      <w:r w:rsidR="001768A2">
        <w:t>6 - 10</w:t>
      </w:r>
      <w:r w:rsidR="00C02356" w:rsidRPr="00F43CA6">
        <w:t xml:space="preserve"> gadus vecu mazlitrāžas motociklu vai mopēdu. Savukārt visbiežāk</w:t>
      </w:r>
      <w:r w:rsidR="00F4643E">
        <w:t>ā</w:t>
      </w:r>
      <w:r w:rsidR="00C02356" w:rsidRPr="00F43CA6">
        <w:t xml:space="preserve"> neapdrošinātā </w:t>
      </w:r>
      <w:proofErr w:type="spellStart"/>
      <w:r w:rsidR="00C02356" w:rsidRPr="00F43CA6">
        <w:t>mototransportlīdzekļu</w:t>
      </w:r>
      <w:proofErr w:type="spellEnd"/>
      <w:r w:rsidR="00C02356" w:rsidRPr="00F43CA6">
        <w:t xml:space="preserve"> marka, ar kuru pēdējos piecos gados izraisīti </w:t>
      </w:r>
      <w:proofErr w:type="spellStart"/>
      <w:r w:rsidR="00C02356" w:rsidRPr="00F43CA6">
        <w:t>CSNg</w:t>
      </w:r>
      <w:proofErr w:type="spellEnd"/>
      <w:r w:rsidR="00C02356" w:rsidRPr="00F43CA6">
        <w:t>, ir YAMAHA</w:t>
      </w:r>
      <w:r w:rsidR="001768A2">
        <w:t>, kam seko KAWASAKI un WONJAN spēkrati</w:t>
      </w:r>
      <w:r w:rsidR="00DB74AC" w:rsidRPr="00F43CA6">
        <w:t>.</w:t>
      </w:r>
    </w:p>
    <w:p w14:paraId="0756DC02" w14:textId="5CBE0D46" w:rsidR="00F12810" w:rsidRPr="00F43CA6" w:rsidRDefault="001768A2" w:rsidP="00F43CA6">
      <w:pPr>
        <w:spacing w:after="0" w:line="240" w:lineRule="auto"/>
        <w:jc w:val="both"/>
      </w:pPr>
      <w:r>
        <w:rPr>
          <w:noProof/>
          <w:lang w:eastAsia="lv-LV"/>
        </w:rPr>
        <w:drawing>
          <wp:anchor distT="0" distB="0" distL="114300" distR="114300" simplePos="0" relativeHeight="251659264" behindDoc="0" locked="0" layoutInCell="1" allowOverlap="1" wp14:anchorId="60702E47" wp14:editId="02A79029">
            <wp:simplePos x="0" y="0"/>
            <wp:positionH relativeFrom="column">
              <wp:posOffset>3206115</wp:posOffset>
            </wp:positionH>
            <wp:positionV relativeFrom="paragraph">
              <wp:posOffset>77470</wp:posOffset>
            </wp:positionV>
            <wp:extent cx="3282950" cy="2082800"/>
            <wp:effectExtent l="0" t="0" r="12700" b="12700"/>
            <wp:wrapNone/>
            <wp:docPr id="7" name="Chart 7">
              <a:extLst xmlns:a="http://schemas.openxmlformats.org/drawingml/2006/main">
                <a:ext uri="{FF2B5EF4-FFF2-40B4-BE49-F238E27FC236}">
                  <a16:creationId xmlns:a16="http://schemas.microsoft.com/office/drawing/2014/main" id="{801B2055-B170-40B1-908D-C759C781D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58240" behindDoc="0" locked="0" layoutInCell="1" allowOverlap="1" wp14:anchorId="3E0D7444" wp14:editId="1207AA43">
            <wp:simplePos x="0" y="0"/>
            <wp:positionH relativeFrom="column">
              <wp:posOffset>-635</wp:posOffset>
            </wp:positionH>
            <wp:positionV relativeFrom="paragraph">
              <wp:posOffset>83820</wp:posOffset>
            </wp:positionV>
            <wp:extent cx="3175000" cy="2082800"/>
            <wp:effectExtent l="0" t="0" r="6350" b="12700"/>
            <wp:wrapNone/>
            <wp:docPr id="4" name="Chart 4">
              <a:extLst xmlns:a="http://schemas.openxmlformats.org/drawingml/2006/main">
                <a:ext uri="{FF2B5EF4-FFF2-40B4-BE49-F238E27FC236}">
                  <a16:creationId xmlns:a16="http://schemas.microsoft.com/office/drawing/2014/main" id="{90B01AD0-1A7B-4717-AA4C-6D0599B27C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FAC20A7" w14:textId="7739CDE0" w:rsidR="00F633E0" w:rsidRDefault="00F633E0" w:rsidP="00F43CA6">
      <w:pPr>
        <w:spacing w:after="0" w:line="240" w:lineRule="auto"/>
        <w:jc w:val="both"/>
      </w:pPr>
    </w:p>
    <w:p w14:paraId="180D4362" w14:textId="1FD06E72" w:rsidR="00F4643E" w:rsidRDefault="00F4643E" w:rsidP="00F43CA6">
      <w:pPr>
        <w:spacing w:after="0" w:line="240" w:lineRule="auto"/>
        <w:jc w:val="both"/>
      </w:pPr>
    </w:p>
    <w:p w14:paraId="4743164C" w14:textId="4CF3F948" w:rsidR="00F4643E" w:rsidRDefault="00F4643E" w:rsidP="00F43CA6">
      <w:pPr>
        <w:spacing w:after="0" w:line="240" w:lineRule="auto"/>
        <w:jc w:val="both"/>
      </w:pPr>
    </w:p>
    <w:p w14:paraId="7199944D" w14:textId="2BDB305B" w:rsidR="00F4643E" w:rsidRDefault="00F4643E" w:rsidP="00F43CA6">
      <w:pPr>
        <w:spacing w:after="0" w:line="240" w:lineRule="auto"/>
        <w:jc w:val="both"/>
      </w:pPr>
    </w:p>
    <w:p w14:paraId="12DAD992" w14:textId="70D96697" w:rsidR="00F4643E" w:rsidRDefault="00F4643E" w:rsidP="00F43CA6">
      <w:pPr>
        <w:spacing w:after="0" w:line="240" w:lineRule="auto"/>
        <w:jc w:val="both"/>
      </w:pPr>
    </w:p>
    <w:p w14:paraId="5F41A3AB" w14:textId="7430B7DA" w:rsidR="00F4643E" w:rsidRDefault="00F4643E" w:rsidP="00F43CA6">
      <w:pPr>
        <w:spacing w:after="0" w:line="240" w:lineRule="auto"/>
        <w:jc w:val="both"/>
      </w:pPr>
    </w:p>
    <w:p w14:paraId="0C0A1325" w14:textId="798D2A1C" w:rsidR="00F4643E" w:rsidRDefault="00F4643E" w:rsidP="00F43CA6">
      <w:pPr>
        <w:spacing w:after="0" w:line="240" w:lineRule="auto"/>
        <w:jc w:val="both"/>
      </w:pPr>
    </w:p>
    <w:p w14:paraId="379572CD" w14:textId="7B61FB69" w:rsidR="00F4643E" w:rsidRDefault="00F4643E" w:rsidP="00F43CA6">
      <w:pPr>
        <w:spacing w:after="0" w:line="240" w:lineRule="auto"/>
        <w:jc w:val="both"/>
      </w:pPr>
    </w:p>
    <w:p w14:paraId="78F6DC48" w14:textId="316DC126" w:rsidR="00F4643E" w:rsidRDefault="00F4643E" w:rsidP="00F43CA6">
      <w:pPr>
        <w:spacing w:after="0" w:line="240" w:lineRule="auto"/>
        <w:jc w:val="both"/>
      </w:pPr>
    </w:p>
    <w:p w14:paraId="5A97A68B" w14:textId="06DD173D" w:rsidR="00F4643E" w:rsidRDefault="00F4643E" w:rsidP="00F43CA6">
      <w:pPr>
        <w:spacing w:after="0" w:line="240" w:lineRule="auto"/>
        <w:jc w:val="both"/>
      </w:pPr>
    </w:p>
    <w:p w14:paraId="6AD1327C" w14:textId="768AA924" w:rsidR="00F4643E" w:rsidRDefault="00F4643E" w:rsidP="00F43CA6">
      <w:pPr>
        <w:spacing w:after="0" w:line="240" w:lineRule="auto"/>
        <w:jc w:val="both"/>
      </w:pPr>
    </w:p>
    <w:p w14:paraId="4087D213" w14:textId="77777777" w:rsidR="00F4643E" w:rsidRPr="00F43CA6" w:rsidRDefault="00F4643E" w:rsidP="00F43CA6">
      <w:pPr>
        <w:spacing w:after="0" w:line="240" w:lineRule="auto"/>
        <w:jc w:val="both"/>
      </w:pPr>
    </w:p>
    <w:p w14:paraId="66791924" w14:textId="6473988E" w:rsidR="003215C1" w:rsidRPr="00F43CA6" w:rsidRDefault="003215C1" w:rsidP="00F43CA6">
      <w:pPr>
        <w:spacing w:after="0" w:line="240" w:lineRule="auto"/>
        <w:jc w:val="both"/>
      </w:pPr>
      <w:r w:rsidRPr="00F43CA6">
        <w:t xml:space="preserve">"Atgādinām, ka OCTA apdrošināšanas polise ir nepieciešama gan motociklu, gan mopēdu un motorolleru vadītājiem. Par braukšanu bez tās tiek piemērots naudas sods un soda punkti - fiziskām personām motociklu īpašniekiem no 85 līdz 120 EUR un 2 soda punkti, bet mopēdu un motorolleru īpašniekiem no 30 līdz 55 EUR un 2 soda punkti," informē </w:t>
      </w:r>
      <w:r w:rsidR="00F4643E">
        <w:t>LTAB valdes priekšsēdētājs</w:t>
      </w:r>
      <w:r w:rsidRPr="00F43CA6">
        <w:t>.</w:t>
      </w:r>
    </w:p>
    <w:p w14:paraId="266C98F0" w14:textId="77777777" w:rsidR="003215C1" w:rsidRPr="00F43CA6" w:rsidRDefault="003215C1" w:rsidP="00F43CA6">
      <w:pPr>
        <w:spacing w:after="0" w:line="240" w:lineRule="auto"/>
        <w:jc w:val="both"/>
      </w:pPr>
    </w:p>
    <w:p w14:paraId="2F7D8546" w14:textId="147EFB3D" w:rsidR="00AB2640" w:rsidRPr="00F43CA6" w:rsidRDefault="00AB2640" w:rsidP="00F43CA6">
      <w:pPr>
        <w:spacing w:after="0" w:line="240" w:lineRule="auto"/>
        <w:jc w:val="both"/>
      </w:pPr>
      <w:r w:rsidRPr="00F43CA6">
        <w:lastRenderedPageBreak/>
        <w:t xml:space="preserve">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w:t>
      </w:r>
      <w:proofErr w:type="spellStart"/>
      <w:r w:rsidRPr="00F43CA6">
        <w:t>Insurance</w:t>
      </w:r>
      <w:proofErr w:type="spellEnd"/>
      <w:r w:rsidRPr="00F43CA6">
        <w:t xml:space="preserve"> </w:t>
      </w:r>
      <w:proofErr w:type="spellStart"/>
      <w:r w:rsidRPr="00F43CA6">
        <w:t>Company</w:t>
      </w:r>
      <w:proofErr w:type="spellEnd"/>
      <w:r w:rsidRPr="00F43CA6">
        <w:t>”, “</w:t>
      </w:r>
      <w:proofErr w:type="spellStart"/>
      <w:r w:rsidRPr="00F43CA6">
        <w:t>Compensa</w:t>
      </w:r>
      <w:proofErr w:type="spellEnd"/>
      <w:r w:rsidRPr="00F43CA6">
        <w:t xml:space="preserve"> </w:t>
      </w:r>
      <w:proofErr w:type="spellStart"/>
      <w:r w:rsidRPr="00F43CA6">
        <w:t>Vienna</w:t>
      </w:r>
      <w:proofErr w:type="spellEnd"/>
      <w:r w:rsidRPr="00F43CA6">
        <w:t xml:space="preserve"> </w:t>
      </w:r>
      <w:proofErr w:type="spellStart"/>
      <w:r w:rsidRPr="00F43CA6">
        <w:t>Insurance</w:t>
      </w:r>
      <w:proofErr w:type="spellEnd"/>
      <w:r w:rsidRPr="00F43CA6">
        <w:t xml:space="preserve"> </w:t>
      </w:r>
      <w:proofErr w:type="spellStart"/>
      <w:r w:rsidRPr="00F43CA6">
        <w:t>Group</w:t>
      </w:r>
      <w:proofErr w:type="spellEnd"/>
      <w:r w:rsidRPr="00F43CA6">
        <w:t xml:space="preserve">” ADB Latvijas filiāle, “ERGO </w:t>
      </w:r>
      <w:proofErr w:type="spellStart"/>
      <w:r w:rsidRPr="00F43CA6">
        <w:t>Insurance</w:t>
      </w:r>
      <w:proofErr w:type="spellEnd"/>
      <w:r w:rsidRPr="00F43CA6">
        <w:t>” SE Latvijas filiāle, ADB “Gjensidige” Latvijas filiāle, “</w:t>
      </w:r>
      <w:proofErr w:type="spellStart"/>
      <w:r w:rsidRPr="00F43CA6">
        <w:t>If</w:t>
      </w:r>
      <w:proofErr w:type="spellEnd"/>
      <w:r w:rsidRPr="00F43CA6">
        <w:t xml:space="preserve"> P&amp;C </w:t>
      </w:r>
      <w:proofErr w:type="spellStart"/>
      <w:r w:rsidRPr="00F43CA6">
        <w:t>Insurance</w:t>
      </w:r>
      <w:proofErr w:type="spellEnd"/>
      <w:r w:rsidRPr="00F43CA6">
        <w:t>” AS Latvijas filiāle, “</w:t>
      </w:r>
      <w:proofErr w:type="spellStart"/>
      <w:r w:rsidRPr="00F43CA6">
        <w:t>Seesam</w:t>
      </w:r>
      <w:proofErr w:type="spellEnd"/>
      <w:r w:rsidRPr="00F43CA6">
        <w:t xml:space="preserve"> </w:t>
      </w:r>
      <w:proofErr w:type="spellStart"/>
      <w:r w:rsidRPr="00F43CA6">
        <w:t>Insurance</w:t>
      </w:r>
      <w:proofErr w:type="spellEnd"/>
      <w:r w:rsidRPr="00F43CA6">
        <w:t>” AS Latvijas filiāle un “</w:t>
      </w:r>
      <w:proofErr w:type="spellStart"/>
      <w:r w:rsidRPr="00F43CA6">
        <w:t>Swedbank</w:t>
      </w:r>
      <w:proofErr w:type="spellEnd"/>
      <w:r w:rsidRPr="00F43CA6">
        <w:t xml:space="preserve"> P&amp;C </w:t>
      </w:r>
      <w:proofErr w:type="spellStart"/>
      <w:r w:rsidRPr="00F43CA6">
        <w:t>Insurance</w:t>
      </w:r>
      <w:proofErr w:type="spellEnd"/>
      <w:r w:rsidRPr="00F43CA6">
        <w:t>” AS Latvijas filiāle.</w:t>
      </w: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proofErr w:type="spellStart"/>
      <w:r w:rsidRPr="0063036D">
        <w:rPr>
          <w:i/>
          <w:sz w:val="16"/>
          <w:szCs w:val="16"/>
        </w:rPr>
        <w:t>Tālr</w:t>
      </w:r>
      <w:proofErr w:type="spellEnd"/>
      <w:r w:rsidRPr="0063036D">
        <w:rPr>
          <w:i/>
          <w:sz w:val="16"/>
          <w:szCs w:val="16"/>
        </w:rPr>
        <w:t xml:space="preserve">: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63036D">
      <w:headerReference w:type="default" r:id="rId10"/>
      <w:footerReference w:type="default" r:id="rId11"/>
      <w:pgSz w:w="11906" w:h="16838"/>
      <w:pgMar w:top="1178" w:right="849" w:bottom="993" w:left="851"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70555" w14:textId="77777777" w:rsidR="00A6587A" w:rsidRDefault="00A6587A" w:rsidP="00C62AF7">
      <w:pPr>
        <w:spacing w:after="0" w:line="240" w:lineRule="auto"/>
      </w:pPr>
      <w:r>
        <w:separator/>
      </w:r>
    </w:p>
  </w:endnote>
  <w:endnote w:type="continuationSeparator" w:id="0">
    <w:p w14:paraId="1ED19569" w14:textId="77777777" w:rsidR="00A6587A" w:rsidRDefault="00A6587A"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86352177"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D83E2" w14:textId="77777777" w:rsidR="00A6587A" w:rsidRDefault="00A6587A" w:rsidP="00C62AF7">
      <w:pPr>
        <w:spacing w:after="0" w:line="240" w:lineRule="auto"/>
      </w:pPr>
      <w:r>
        <w:separator/>
      </w:r>
    </w:p>
  </w:footnote>
  <w:footnote w:type="continuationSeparator" w:id="0">
    <w:p w14:paraId="3E4E8990" w14:textId="77777777" w:rsidR="00A6587A" w:rsidRDefault="00A6587A"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86352176"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862BA"/>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C65E0"/>
    <w:rsid w:val="001C7562"/>
    <w:rsid w:val="001D3B28"/>
    <w:rsid w:val="001D6AEF"/>
    <w:rsid w:val="001E57C6"/>
    <w:rsid w:val="001E71BD"/>
    <w:rsid w:val="001F1824"/>
    <w:rsid w:val="001F3B92"/>
    <w:rsid w:val="00216C6A"/>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17E51"/>
    <w:rsid w:val="0063036D"/>
    <w:rsid w:val="006416BA"/>
    <w:rsid w:val="0065103F"/>
    <w:rsid w:val="00660902"/>
    <w:rsid w:val="006610B2"/>
    <w:rsid w:val="006A55FE"/>
    <w:rsid w:val="006A6493"/>
    <w:rsid w:val="006B768B"/>
    <w:rsid w:val="006C4F73"/>
    <w:rsid w:val="006E02BB"/>
    <w:rsid w:val="006E217C"/>
    <w:rsid w:val="006E75CA"/>
    <w:rsid w:val="00713F2D"/>
    <w:rsid w:val="00717211"/>
    <w:rsid w:val="00721F1C"/>
    <w:rsid w:val="00742A6B"/>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8E7F5E"/>
    <w:rsid w:val="009124FD"/>
    <w:rsid w:val="00935173"/>
    <w:rsid w:val="00936462"/>
    <w:rsid w:val="00941CB7"/>
    <w:rsid w:val="00953B8C"/>
    <w:rsid w:val="009605DD"/>
    <w:rsid w:val="00964DE9"/>
    <w:rsid w:val="0096631F"/>
    <w:rsid w:val="00966515"/>
    <w:rsid w:val="0097040E"/>
    <w:rsid w:val="009722A2"/>
    <w:rsid w:val="00973D97"/>
    <w:rsid w:val="009847D7"/>
    <w:rsid w:val="00987FC2"/>
    <w:rsid w:val="009904EE"/>
    <w:rsid w:val="009B284C"/>
    <w:rsid w:val="009B6953"/>
    <w:rsid w:val="009D0A59"/>
    <w:rsid w:val="00A122A4"/>
    <w:rsid w:val="00A167B2"/>
    <w:rsid w:val="00A32115"/>
    <w:rsid w:val="00A50D47"/>
    <w:rsid w:val="00A6587A"/>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80E9A"/>
    <w:rsid w:val="00C91CFB"/>
    <w:rsid w:val="00C93AB0"/>
    <w:rsid w:val="00CC1D83"/>
    <w:rsid w:val="00D01223"/>
    <w:rsid w:val="00D01457"/>
    <w:rsid w:val="00D05616"/>
    <w:rsid w:val="00D05A63"/>
    <w:rsid w:val="00D34E4A"/>
    <w:rsid w:val="00D356F9"/>
    <w:rsid w:val="00D64814"/>
    <w:rsid w:val="00D8058A"/>
    <w:rsid w:val="00DB74AC"/>
    <w:rsid w:val="00DD7C40"/>
    <w:rsid w:val="00E10460"/>
    <w:rsid w:val="00E21F46"/>
    <w:rsid w:val="00E23A71"/>
    <w:rsid w:val="00E32C33"/>
    <w:rsid w:val="00E3307D"/>
    <w:rsid w:val="00E537C3"/>
    <w:rsid w:val="00E542EC"/>
    <w:rsid w:val="00E5474A"/>
    <w:rsid w:val="00E61937"/>
    <w:rsid w:val="00E6367A"/>
    <w:rsid w:val="00E730A3"/>
    <w:rsid w:val="00E8391D"/>
    <w:rsid w:val="00E9038F"/>
    <w:rsid w:val="00E914E5"/>
    <w:rsid w:val="00E91AD3"/>
    <w:rsid w:val="00EA42C0"/>
    <w:rsid w:val="00EC201D"/>
    <w:rsid w:val="00EC3E3F"/>
    <w:rsid w:val="00EC50B3"/>
    <w:rsid w:val="00EF1BCF"/>
    <w:rsid w:val="00F0210F"/>
    <w:rsid w:val="00F06838"/>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EED"/>
    <w:rsid w:val="00FB2D15"/>
    <w:rsid w:val="00FB38D7"/>
    <w:rsid w:val="00FB4329"/>
    <w:rsid w:val="00FC78B5"/>
    <w:rsid w:val="00FE0350"/>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neapdr_mo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neapdr_mot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ints\AppData\Local\Microsoft\Windows\INetCache\Content.Outlook\WFKQCUF8\neapdr_moto.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[neapdr_moto.xlsx]Neapdr_moto!$B$1</c:f>
              <c:strCache>
                <c:ptCount val="1"/>
                <c:pt idx="0">
                  <c:v>CSNg skaits, kurus izraisījis mototransportlīdzeklis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[neapdr_moto.xlsx]Neapdr_moto!$A$2:$A$6</c:f>
              <c:numCache>
                <c:formatCode>General</c:formatCode>
                <c:ptCount val="5"/>
                <c:pt idx="0">
                  <c:v>2013</c:v>
                </c:pt>
                <c:pt idx="1">
                  <c:v>2014</c:v>
                </c:pt>
                <c:pt idx="2">
                  <c:v>2015</c:v>
                </c:pt>
                <c:pt idx="3">
                  <c:v>2016</c:v>
                </c:pt>
                <c:pt idx="4">
                  <c:v>2017</c:v>
                </c:pt>
              </c:numCache>
            </c:numRef>
          </c:xVal>
          <c:yVal>
            <c:numRef>
              <c:f>[neapdr_moto.xlsx]Neapdr_moto!$B$2:$B$6</c:f>
              <c:numCache>
                <c:formatCode>General</c:formatCode>
                <c:ptCount val="5"/>
                <c:pt idx="0">
                  <c:v>223</c:v>
                </c:pt>
                <c:pt idx="1">
                  <c:v>228</c:v>
                </c:pt>
                <c:pt idx="2">
                  <c:v>265</c:v>
                </c:pt>
                <c:pt idx="3">
                  <c:v>239</c:v>
                </c:pt>
                <c:pt idx="4">
                  <c:v>208</c:v>
                </c:pt>
              </c:numCache>
            </c:numRef>
          </c:yVal>
          <c:smooth val="0"/>
          <c:extLst>
            <c:ext xmlns:c16="http://schemas.microsoft.com/office/drawing/2014/chart" uri="{C3380CC4-5D6E-409C-BE32-E72D297353CC}">
              <c16:uniqueId val="{00000000-281A-438E-ADE5-16E5269335D7}"/>
            </c:ext>
          </c:extLst>
        </c:ser>
        <c:ser>
          <c:idx val="1"/>
          <c:order val="1"/>
          <c:tx>
            <c:strRef>
              <c:f>[neapdr_moto.xlsx]Neapdr_moto!$C$1</c:f>
              <c:strCache>
                <c:ptCount val="1"/>
                <c:pt idx="0">
                  <c:v>CSNg skaits, kurus izraisījis neapdrošināts mototransportlīdzeklis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[neapdr_moto.xlsx]Neapdr_moto!$A$2:$A$6</c:f>
              <c:numCache>
                <c:formatCode>General</c:formatCode>
                <c:ptCount val="5"/>
                <c:pt idx="0">
                  <c:v>2013</c:v>
                </c:pt>
                <c:pt idx="1">
                  <c:v>2014</c:v>
                </c:pt>
                <c:pt idx="2">
                  <c:v>2015</c:v>
                </c:pt>
                <c:pt idx="3">
                  <c:v>2016</c:v>
                </c:pt>
                <c:pt idx="4">
                  <c:v>2017</c:v>
                </c:pt>
              </c:numCache>
            </c:numRef>
          </c:xVal>
          <c:yVal>
            <c:numRef>
              <c:f>[neapdr_moto.xlsx]Neapdr_moto!$C$2:$C$6</c:f>
              <c:numCache>
                <c:formatCode>General</c:formatCode>
                <c:ptCount val="5"/>
                <c:pt idx="0">
                  <c:v>15</c:v>
                </c:pt>
                <c:pt idx="1">
                  <c:v>9</c:v>
                </c:pt>
                <c:pt idx="2">
                  <c:v>28</c:v>
                </c:pt>
                <c:pt idx="3">
                  <c:v>21</c:v>
                </c:pt>
                <c:pt idx="4">
                  <c:v>25</c:v>
                </c:pt>
              </c:numCache>
            </c:numRef>
          </c:yVal>
          <c:smooth val="0"/>
          <c:extLst>
            <c:ext xmlns:c16="http://schemas.microsoft.com/office/drawing/2014/chart" uri="{C3380CC4-5D6E-409C-BE32-E72D297353CC}">
              <c16:uniqueId val="{00000001-281A-438E-ADE5-16E5269335D7}"/>
            </c:ext>
          </c:extLst>
        </c:ser>
        <c:dLbls>
          <c:showLegendKey val="0"/>
          <c:showVal val="0"/>
          <c:showCatName val="0"/>
          <c:showSerName val="0"/>
          <c:showPercent val="0"/>
          <c:showBubbleSize val="0"/>
        </c:dLbls>
        <c:axId val="195886256"/>
        <c:axId val="195881336"/>
      </c:scatterChart>
      <c:valAx>
        <c:axId val="195886256"/>
        <c:scaling>
          <c:orientation val="minMax"/>
          <c:max val="2017"/>
          <c:min val="2013"/>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5881336"/>
        <c:crosses val="autoZero"/>
        <c:crossBetween val="midCat"/>
        <c:majorUnit val="1"/>
        <c:minorUnit val="1"/>
      </c:valAx>
      <c:valAx>
        <c:axId val="195881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5886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Neapdrošinātā</a:t>
            </a:r>
            <a:r>
              <a:rPr lang="lv-LV" sz="1000" baseline="0"/>
              <a:t> m</a:t>
            </a:r>
            <a:r>
              <a:rPr lang="lv-LV" sz="1000"/>
              <a:t>ototransportlīdzekļa vidējais vecums gados, ar kuru izraisīts CSNg (dati</a:t>
            </a:r>
            <a:r>
              <a:rPr lang="lv-LV" sz="1000" baseline="0"/>
              <a:t> par </a:t>
            </a:r>
            <a:r>
              <a:rPr lang="lv-LV" sz="1000"/>
              <a:t>2013. - 2017.gadu)</a:t>
            </a:r>
            <a:endParaRPr lang="en-GB"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[neapdr_moto.xlsx]Neapdr_moto!$L$1</c:f>
              <c:strCache>
                <c:ptCount val="1"/>
                <c:pt idx="0">
                  <c:v>CSNg skaits</c:v>
                </c:pt>
              </c:strCache>
            </c:strRef>
          </c:tx>
          <c:spPr>
            <a:solidFill>
              <a:schemeClr val="accent1"/>
            </a:solidFill>
            <a:ln>
              <a:noFill/>
            </a:ln>
            <a:effectLst/>
            <a:sp3d/>
          </c:spPr>
          <c:invertIfNegative val="0"/>
          <c:cat>
            <c:strRef>
              <c:f>[neapdr_moto.xlsx]Neapdr_moto!$K$2:$K$27</c:f>
              <c:strCache>
                <c:ptCount val="26"/>
                <c:pt idx="0">
                  <c:v>0 - 5</c:v>
                </c:pt>
                <c:pt idx="6">
                  <c:v>6-10</c:v>
                </c:pt>
                <c:pt idx="11">
                  <c:v>11-15</c:v>
                </c:pt>
                <c:pt idx="16">
                  <c:v>16-20</c:v>
                </c:pt>
                <c:pt idx="21">
                  <c:v>&gt;20</c:v>
                </c:pt>
                <c:pt idx="25">
                  <c:v>nav zināms</c:v>
                </c:pt>
              </c:strCache>
            </c:strRef>
          </c:cat>
          <c:val>
            <c:numRef>
              <c:f>[neapdr_moto.xlsx]Neapdr_moto!$L$2:$L$27</c:f>
              <c:numCache>
                <c:formatCode>General</c:formatCode>
                <c:ptCount val="26"/>
                <c:pt idx="0">
                  <c:v>25</c:v>
                </c:pt>
                <c:pt idx="6">
                  <c:v>35</c:v>
                </c:pt>
                <c:pt idx="11">
                  <c:v>14</c:v>
                </c:pt>
                <c:pt idx="16">
                  <c:v>10</c:v>
                </c:pt>
                <c:pt idx="21">
                  <c:v>7</c:v>
                </c:pt>
                <c:pt idx="25">
                  <c:v>11</c:v>
                </c:pt>
              </c:numCache>
            </c:numRef>
          </c:val>
          <c:extLst>
            <c:ext xmlns:c16="http://schemas.microsoft.com/office/drawing/2014/chart" uri="{C3380CC4-5D6E-409C-BE32-E72D297353CC}">
              <c16:uniqueId val="{00000000-588B-48E7-8336-DC2CBBD37D8F}"/>
            </c:ext>
          </c:extLst>
        </c:ser>
        <c:dLbls>
          <c:showLegendKey val="0"/>
          <c:showVal val="0"/>
          <c:showCatName val="0"/>
          <c:showSerName val="0"/>
          <c:showPercent val="0"/>
          <c:showBubbleSize val="0"/>
        </c:dLbls>
        <c:gapWidth val="150"/>
        <c:shape val="box"/>
        <c:axId val="468575520"/>
        <c:axId val="468576504"/>
        <c:axId val="0"/>
      </c:bar3DChart>
      <c:catAx>
        <c:axId val="4685755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8576504"/>
        <c:crosses val="autoZero"/>
        <c:auto val="1"/>
        <c:lblAlgn val="ctr"/>
        <c:lblOffset val="100"/>
        <c:noMultiLvlLbl val="0"/>
      </c:catAx>
      <c:valAx>
        <c:axId val="468576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68575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Neapdrošināta mototransportlīdzekļa, ar kuru izraisīts CSNg,</a:t>
            </a:r>
            <a:r>
              <a:rPr lang="lv-LV" sz="1000" baseline="0"/>
              <a:t> vadītāja vidējais vecums gados </a:t>
            </a:r>
            <a:r>
              <a:rPr lang="lv-LV" sz="1000"/>
              <a:t>(dati par 2013. - 2017.gadu)</a:t>
            </a:r>
            <a:endParaRPr lang="en-GB"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[neapdr_moto.xlsx]Neapdr_moto!$F$1</c:f>
              <c:strCache>
                <c:ptCount val="1"/>
                <c:pt idx="0">
                  <c:v>Izraisīto CSNg skaits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[neapdr_moto.xlsx]Neapdr_moto!$E$2:$E$7</c:f>
              <c:strCache>
                <c:ptCount val="6"/>
                <c:pt idx="0">
                  <c:v>&lt;18</c:v>
                </c:pt>
                <c:pt idx="1">
                  <c:v>18-25</c:v>
                </c:pt>
                <c:pt idx="2">
                  <c:v>25-40</c:v>
                </c:pt>
                <c:pt idx="3">
                  <c:v>40-60</c:v>
                </c:pt>
                <c:pt idx="4">
                  <c:v>&gt;60</c:v>
                </c:pt>
                <c:pt idx="5">
                  <c:v>nav zināms</c:v>
                </c:pt>
              </c:strCache>
            </c:strRef>
          </c:cat>
          <c:val>
            <c:numRef>
              <c:f>[neapdr_moto.xlsx]Neapdr_moto!$F$2:$F$7</c:f>
              <c:numCache>
                <c:formatCode>General</c:formatCode>
                <c:ptCount val="6"/>
                <c:pt idx="0">
                  <c:v>16</c:v>
                </c:pt>
                <c:pt idx="1">
                  <c:v>19</c:v>
                </c:pt>
                <c:pt idx="2">
                  <c:v>29</c:v>
                </c:pt>
                <c:pt idx="3">
                  <c:v>28</c:v>
                </c:pt>
                <c:pt idx="4">
                  <c:v>7</c:v>
                </c:pt>
                <c:pt idx="5">
                  <c:v>3</c:v>
                </c:pt>
              </c:numCache>
            </c:numRef>
          </c:val>
          <c:extLst>
            <c:ext xmlns:c16="http://schemas.microsoft.com/office/drawing/2014/chart" uri="{C3380CC4-5D6E-409C-BE32-E72D297353CC}">
              <c16:uniqueId val="{00000000-8861-4A3A-9AA9-DA024A89BB28}"/>
            </c:ext>
          </c:extLst>
        </c:ser>
        <c:dLbls>
          <c:showLegendKey val="0"/>
          <c:showVal val="0"/>
          <c:showCatName val="0"/>
          <c:showSerName val="0"/>
          <c:showPercent val="0"/>
          <c:showBubbleSize val="0"/>
        </c:dLbls>
        <c:gapWidth val="219"/>
        <c:overlap val="-27"/>
        <c:axId val="537545992"/>
        <c:axId val="537542712"/>
      </c:barChart>
      <c:catAx>
        <c:axId val="537545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7542712"/>
        <c:crosses val="autoZero"/>
        <c:auto val="1"/>
        <c:lblAlgn val="ctr"/>
        <c:lblOffset val="100"/>
        <c:noMultiLvlLbl val="0"/>
      </c:catAx>
      <c:valAx>
        <c:axId val="537542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7545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86EE-1CEF-4098-B086-FE304028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1838</Words>
  <Characters>1049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2018-04-27T13:37:00Z</dcterms:created>
  <dcterms:modified xsi:type="dcterms:W3CDTF">2018-04-27T13:37:00Z</dcterms:modified>
</cp:coreProperties>
</file>