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5E3A510E" w:rsidR="00E21F46" w:rsidRPr="001A7A8B" w:rsidRDefault="001A7A8B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41B06B68" w:rsidR="00E21F46" w:rsidRDefault="00FE0350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28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9D0A59">
        <w:rPr>
          <w:sz w:val="20"/>
          <w:szCs w:val="20"/>
        </w:rPr>
        <w:t>4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0FE39B43" w14:textId="30C11F94" w:rsidR="00B7357B" w:rsidRPr="00B7357B" w:rsidRDefault="00B7357B" w:rsidP="001C14D4">
      <w:pPr>
        <w:spacing w:after="0" w:line="240" w:lineRule="auto"/>
        <w:jc w:val="both"/>
        <w:rPr>
          <w:b/>
          <w:sz w:val="26"/>
          <w:szCs w:val="26"/>
          <w:lang w:val="ru-RU"/>
        </w:rPr>
      </w:pPr>
      <w:r w:rsidRPr="00B7357B">
        <w:rPr>
          <w:b/>
          <w:sz w:val="26"/>
          <w:szCs w:val="26"/>
          <w:lang w:val="ru-RU"/>
        </w:rPr>
        <w:t xml:space="preserve">ДТП без </w:t>
      </w:r>
      <w:r>
        <w:rPr>
          <w:b/>
          <w:sz w:val="26"/>
          <w:szCs w:val="26"/>
          <w:lang w:val="ru-RU"/>
        </w:rPr>
        <w:t>ОСТА, как правило, вызывают</w:t>
      </w:r>
      <w:r w:rsidRPr="00B7357B">
        <w:rPr>
          <w:b/>
          <w:sz w:val="26"/>
          <w:szCs w:val="26"/>
          <w:lang w:val="ru-RU"/>
        </w:rPr>
        <w:t xml:space="preserve"> малолитражные транспортные средства</w:t>
      </w:r>
    </w:p>
    <w:p w14:paraId="6AF858DB" w14:textId="77777777" w:rsidR="001C14D4" w:rsidRPr="001C14D4" w:rsidRDefault="001C14D4" w:rsidP="00F43CA6">
      <w:pPr>
        <w:spacing w:after="0" w:line="240" w:lineRule="auto"/>
        <w:jc w:val="both"/>
        <w:rPr>
          <w:b/>
        </w:rPr>
      </w:pPr>
    </w:p>
    <w:p w14:paraId="0344828A" w14:textId="7D81787D" w:rsidR="001A7A8B" w:rsidRPr="000F3D98" w:rsidRDefault="001A7A8B" w:rsidP="00F43CA6">
      <w:pPr>
        <w:spacing w:after="0" w:line="240" w:lineRule="auto"/>
        <w:jc w:val="both"/>
        <w:rPr>
          <w:b/>
          <w:lang w:val="ru-RU"/>
        </w:rPr>
      </w:pPr>
      <w:bookmarkStart w:id="1" w:name="_GoBack"/>
      <w:r>
        <w:rPr>
          <w:b/>
          <w:lang w:val="ru-RU"/>
        </w:rPr>
        <w:t xml:space="preserve">Обобщенная статистика Латвийского бюро страховщиков транспортных средств (далее </w:t>
      </w:r>
      <w:r w:rsidRPr="00F43CA6">
        <w:rPr>
          <w:b/>
        </w:rPr>
        <w:t>– LTAB)</w:t>
      </w:r>
      <w:r>
        <w:rPr>
          <w:b/>
          <w:lang w:val="ru-RU"/>
        </w:rPr>
        <w:t xml:space="preserve"> за 2013-2017 годы свидетельствует, что среди всех незастрахованных мототранспортных средств, вызвавших ДТП, убедительно доминируют малолитражные (до 50 см3) транспортные средства. Из произошедших в течение последних пяти лет 102 аварий, виновниками которых стали незастрахованные мототранспортные средства, в большей части (54,9%) виноваты малолитражные мотоциклы или мопеды. «Это очень важное наблюдение, подтверждающее, что многие водители малолитражных мототранспортных средств все еще забывают, не знают или злонамеренно игнорируют тот факт, что с 2011 года и этим транспортным средствам необходимо приобретать ОСТА», - поясняет председатель правления </w:t>
      </w:r>
      <w:r w:rsidRPr="00F43CA6">
        <w:rPr>
          <w:b/>
        </w:rPr>
        <w:t>LTAB</w:t>
      </w:r>
      <w:r w:rsidR="000F3D98">
        <w:rPr>
          <w:b/>
        </w:rPr>
        <w:t xml:space="preserve"> </w:t>
      </w:r>
      <w:r w:rsidR="000F3D98">
        <w:rPr>
          <w:b/>
          <w:lang w:val="ru-RU"/>
        </w:rPr>
        <w:t xml:space="preserve">Янис Абашин. </w:t>
      </w:r>
    </w:p>
    <w:bookmarkEnd w:id="1"/>
    <w:p w14:paraId="0D7720F6" w14:textId="77777777" w:rsidR="001A7A8B" w:rsidRDefault="001A7A8B" w:rsidP="00F43CA6">
      <w:pPr>
        <w:spacing w:after="0" w:line="240" w:lineRule="auto"/>
        <w:jc w:val="both"/>
        <w:rPr>
          <w:b/>
          <w:lang w:val="ru-RU"/>
        </w:rPr>
      </w:pPr>
    </w:p>
    <w:p w14:paraId="38652566" w14:textId="7348D057" w:rsidR="00F0210F" w:rsidRDefault="000F3D98" w:rsidP="00F43CA6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2017 году незастрахованные транспортные средства в целом вызвали 25 аварий, что является вторым наибольшим количеством за последние пять лет. «Хотя общее число ДТП, виновником которых стали водители мотоцикла или мопеда, в течение последних лет уменьшилось, однако все еще, особенно в начале мотосезона, наблюдается легкомысленное отношение к страхованию ответственности», - рассказывает </w:t>
      </w:r>
      <w:r>
        <w:rPr>
          <w:lang w:val="ru-RU"/>
        </w:rPr>
        <w:br/>
        <w:t xml:space="preserve">Я. Абашин, добавляя, что в этом году (до 25 апреля) уже было зарегистрировано 4 ДТП, вызванных незастрахованными мототранспортными средствами. </w:t>
      </w:r>
    </w:p>
    <w:p w14:paraId="4B6D831B" w14:textId="77777777" w:rsidR="000F3D98" w:rsidRPr="000F3D98" w:rsidRDefault="000F3D98" w:rsidP="00F43CA6">
      <w:pPr>
        <w:spacing w:after="0" w:line="240" w:lineRule="auto"/>
        <w:jc w:val="both"/>
        <w:rPr>
          <w:lang w:val="ru-RU"/>
        </w:rPr>
      </w:pPr>
    </w:p>
    <w:p w14:paraId="6C6456C7" w14:textId="57C3BA76" w:rsidR="000F3D98" w:rsidRPr="000F3D98" w:rsidRDefault="000F3D98" w:rsidP="00F43CA6">
      <w:pPr>
        <w:spacing w:after="0" w:line="240" w:lineRule="auto"/>
        <w:jc w:val="both"/>
      </w:pPr>
      <w:r>
        <w:rPr>
          <w:noProof/>
          <w:lang w:eastAsia="lv-LV"/>
        </w:rPr>
        <w:drawing>
          <wp:inline distT="0" distB="0" distL="0" distR="0" wp14:anchorId="0AD5287F" wp14:editId="28EDC880">
            <wp:extent cx="6480810" cy="1854200"/>
            <wp:effectExtent l="0" t="0" r="1524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E9645D27-7356-4DB5-9569-223BF3F2F8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3048033" w14:textId="060973A1" w:rsidR="00F0210F" w:rsidRDefault="00F0210F" w:rsidP="00F0210F">
      <w:pPr>
        <w:spacing w:after="0" w:line="240" w:lineRule="auto"/>
        <w:jc w:val="both"/>
      </w:pPr>
    </w:p>
    <w:p w14:paraId="5C7D6C69" w14:textId="50FBE65B" w:rsidR="000F3D98" w:rsidRPr="00F43CA6" w:rsidRDefault="000F3D98" w:rsidP="000F3D98">
      <w:pPr>
        <w:spacing w:after="0" w:line="240" w:lineRule="auto"/>
        <w:jc w:val="both"/>
      </w:pPr>
      <w:r>
        <w:rPr>
          <w:lang w:val="ru-RU"/>
        </w:rPr>
        <w:t xml:space="preserve">Как свидетельствуют данные </w:t>
      </w:r>
      <w:r>
        <w:t>LTAB</w:t>
      </w:r>
      <w:r>
        <w:rPr>
          <w:lang w:val="ru-RU"/>
        </w:rPr>
        <w:t xml:space="preserve"> за 2013 – 2017 год</w:t>
      </w:r>
      <w:r w:rsidR="00674E82">
        <w:rPr>
          <w:lang w:val="ru-RU"/>
        </w:rPr>
        <w:t>ы</w:t>
      </w:r>
      <w:r>
        <w:rPr>
          <w:lang w:val="ru-RU"/>
        </w:rPr>
        <w:t xml:space="preserve">, наиболее часто аварии на </w:t>
      </w:r>
      <w:r w:rsidRPr="000F3D98">
        <w:rPr>
          <w:lang w:val="ru-RU"/>
        </w:rPr>
        <w:t>незастрахованн</w:t>
      </w:r>
      <w:r>
        <w:rPr>
          <w:lang w:val="ru-RU"/>
        </w:rPr>
        <w:t>о</w:t>
      </w:r>
      <w:r w:rsidRPr="000F3D98">
        <w:rPr>
          <w:lang w:val="ru-RU"/>
        </w:rPr>
        <w:t>м мототранспортн</w:t>
      </w:r>
      <w:r>
        <w:rPr>
          <w:lang w:val="ru-RU"/>
        </w:rPr>
        <w:t>о</w:t>
      </w:r>
      <w:r w:rsidRPr="000F3D98">
        <w:rPr>
          <w:lang w:val="ru-RU"/>
        </w:rPr>
        <w:t>м средств</w:t>
      </w:r>
      <w:r>
        <w:rPr>
          <w:lang w:val="ru-RU"/>
        </w:rPr>
        <w:t xml:space="preserve">е вызывают водители в возрасте от 25 до 40 лет, передвигающиеся на 6-10летнем малолитражном мотоцикле или мопеде. В свою очередь наиболее часто встречающаяся марка </w:t>
      </w:r>
      <w:r w:rsidRPr="000F3D98">
        <w:rPr>
          <w:lang w:val="ru-RU"/>
        </w:rPr>
        <w:t>незастрахованн</w:t>
      </w:r>
      <w:r>
        <w:rPr>
          <w:lang w:val="ru-RU"/>
        </w:rPr>
        <w:t>ого</w:t>
      </w:r>
      <w:r w:rsidRPr="000F3D98">
        <w:rPr>
          <w:lang w:val="ru-RU"/>
        </w:rPr>
        <w:t xml:space="preserve"> мототранспорт</w:t>
      </w:r>
      <w:r>
        <w:rPr>
          <w:lang w:val="ru-RU"/>
        </w:rPr>
        <w:t>ого</w:t>
      </w:r>
      <w:r w:rsidRPr="000F3D98">
        <w:rPr>
          <w:lang w:val="ru-RU"/>
        </w:rPr>
        <w:t xml:space="preserve"> средств</w:t>
      </w:r>
      <w:r>
        <w:rPr>
          <w:lang w:val="ru-RU"/>
        </w:rPr>
        <w:t xml:space="preserve">а, на котором в течение последних пяти лет были вызваны ДТП, - это </w:t>
      </w:r>
      <w:r w:rsidRPr="00F43CA6">
        <w:t>YAMAHA</w:t>
      </w:r>
      <w:r>
        <w:t xml:space="preserve">, </w:t>
      </w:r>
      <w:r>
        <w:rPr>
          <w:lang w:val="ru-RU"/>
        </w:rPr>
        <w:t>за которой следуют</w:t>
      </w:r>
      <w:r>
        <w:t xml:space="preserve"> KAWASAKI</w:t>
      </w:r>
      <w:r>
        <w:rPr>
          <w:lang w:val="ru-RU"/>
        </w:rPr>
        <w:t xml:space="preserve"> и</w:t>
      </w:r>
      <w:r>
        <w:t xml:space="preserve"> WONJAN</w:t>
      </w:r>
      <w:r w:rsidRPr="00F43CA6">
        <w:t>.</w:t>
      </w:r>
    </w:p>
    <w:p w14:paraId="4C857B56" w14:textId="6EED202D" w:rsidR="00F4643E" w:rsidRPr="000F3D98" w:rsidRDefault="00F4643E" w:rsidP="00F0210F">
      <w:pPr>
        <w:spacing w:after="0" w:line="240" w:lineRule="auto"/>
        <w:jc w:val="both"/>
      </w:pPr>
    </w:p>
    <w:p w14:paraId="0756DC02" w14:textId="5B94F1DD" w:rsidR="00F12810" w:rsidRPr="00F43CA6" w:rsidRDefault="009156D3" w:rsidP="00F43CA6">
      <w:pPr>
        <w:spacing w:after="0" w:line="240" w:lineRule="auto"/>
        <w:jc w:val="both"/>
      </w:pPr>
      <w:r>
        <w:rPr>
          <w:noProof/>
          <w:lang w:eastAsia="lv-LV"/>
        </w:rPr>
        <w:drawing>
          <wp:inline distT="0" distB="0" distL="0" distR="0" wp14:anchorId="0089F87B" wp14:editId="66DD81CC">
            <wp:extent cx="3232150" cy="1905000"/>
            <wp:effectExtent l="0" t="0" r="635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801B2055-B170-40B1-908D-C759C781D8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9156D3">
        <w:rPr>
          <w:noProof/>
        </w:rPr>
        <w:t xml:space="preserve"> </w:t>
      </w:r>
      <w:r>
        <w:rPr>
          <w:noProof/>
          <w:lang w:eastAsia="lv-LV"/>
        </w:rPr>
        <w:drawing>
          <wp:inline distT="0" distB="0" distL="0" distR="0" wp14:anchorId="7C0F9C59" wp14:editId="30152E9C">
            <wp:extent cx="3111500" cy="1895475"/>
            <wp:effectExtent l="0" t="0" r="1270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90B01AD0-1A7B-4717-AA4C-6D0599B27C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AC20A7" w14:textId="732F0463" w:rsidR="00F633E0" w:rsidRPr="00674E82" w:rsidRDefault="009156D3" w:rsidP="00F43CA6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lastRenderedPageBreak/>
        <w:t>«Напоминаем, что страховой полис ОСТА необходим как водителям мотоциклов, так и водителям мопедов и мотороллеров. За езду без страховки применяется денежный штраф и штрафные пункты</w:t>
      </w:r>
      <w:r w:rsidR="00674E82">
        <w:rPr>
          <w:lang w:val="ru-RU"/>
        </w:rPr>
        <w:t xml:space="preserve">: физическим персонам владельцам мотоциклов – от 85 до 120 евро и 2 штрафных пункта, а владельцам мопедов и мотороллеров – от 30 до 55 евро и 2 штрафных пункта», - информирует председатель правления </w:t>
      </w:r>
      <w:r w:rsidR="00674E82">
        <w:t>LTAB</w:t>
      </w:r>
      <w:r w:rsidR="00674E82">
        <w:rPr>
          <w:lang w:val="ru-RU"/>
        </w:rPr>
        <w:t>.</w:t>
      </w:r>
    </w:p>
    <w:p w14:paraId="49FD3AFE" w14:textId="77777777" w:rsidR="00674E82" w:rsidRDefault="00674E82" w:rsidP="00674E82">
      <w:pPr>
        <w:spacing w:after="0" w:line="240" w:lineRule="auto"/>
        <w:jc w:val="both"/>
      </w:pPr>
    </w:p>
    <w:p w14:paraId="350604F2" w14:textId="3083C3D9" w:rsidR="00674E82" w:rsidRDefault="00674E82" w:rsidP="00674E82">
      <w:pPr>
        <w:spacing w:after="0" w:line="240" w:lineRule="auto"/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“Gjensidige”,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Swedbank</w:t>
      </w:r>
      <w:proofErr w:type="spellEnd"/>
      <w:r>
        <w:t xml:space="preserve"> P&amp;C Insurance”.</w:t>
      </w:r>
    </w:p>
    <w:p w14:paraId="42F87A60" w14:textId="77777777" w:rsidR="00674E82" w:rsidRDefault="00674E82" w:rsidP="00674E82">
      <w:pPr>
        <w:spacing w:after="0" w:line="240" w:lineRule="auto"/>
        <w:jc w:val="both"/>
      </w:pPr>
    </w:p>
    <w:p w14:paraId="517B9322" w14:textId="77777777" w:rsidR="00674E82" w:rsidRPr="00674E82" w:rsidRDefault="00674E82" w:rsidP="00674E82">
      <w:pPr>
        <w:spacing w:after="0" w:line="240" w:lineRule="auto"/>
        <w:jc w:val="right"/>
        <w:rPr>
          <w:i/>
        </w:rPr>
      </w:pPr>
      <w:proofErr w:type="spellStart"/>
      <w:r w:rsidRPr="00674E82">
        <w:rPr>
          <w:i/>
        </w:rPr>
        <w:t>Информацию</w:t>
      </w:r>
      <w:proofErr w:type="spellEnd"/>
      <w:r w:rsidRPr="00674E82">
        <w:rPr>
          <w:i/>
        </w:rPr>
        <w:t xml:space="preserve"> </w:t>
      </w:r>
      <w:proofErr w:type="spellStart"/>
      <w:r w:rsidRPr="00674E82">
        <w:rPr>
          <w:i/>
        </w:rPr>
        <w:t>подготовил</w:t>
      </w:r>
      <w:proofErr w:type="spellEnd"/>
      <w:r w:rsidRPr="00674E82">
        <w:rPr>
          <w:i/>
        </w:rPr>
        <w:t>:</w:t>
      </w:r>
    </w:p>
    <w:p w14:paraId="0CC86C87" w14:textId="77777777" w:rsidR="00674E82" w:rsidRPr="00674E82" w:rsidRDefault="00674E82" w:rsidP="00674E82">
      <w:pPr>
        <w:spacing w:after="0" w:line="240" w:lineRule="auto"/>
        <w:jc w:val="right"/>
        <w:rPr>
          <w:i/>
        </w:rPr>
      </w:pPr>
      <w:proofErr w:type="spellStart"/>
      <w:r w:rsidRPr="00674E82">
        <w:rPr>
          <w:i/>
        </w:rPr>
        <w:t>Консультант</w:t>
      </w:r>
      <w:proofErr w:type="spellEnd"/>
      <w:r w:rsidRPr="00674E82">
        <w:rPr>
          <w:i/>
        </w:rPr>
        <w:t xml:space="preserve"> </w:t>
      </w:r>
      <w:proofErr w:type="spellStart"/>
      <w:r w:rsidRPr="00674E82">
        <w:rPr>
          <w:i/>
        </w:rPr>
        <w:t>по</w:t>
      </w:r>
      <w:proofErr w:type="spellEnd"/>
      <w:r w:rsidRPr="00674E82">
        <w:rPr>
          <w:i/>
        </w:rPr>
        <w:t xml:space="preserve"> </w:t>
      </w:r>
      <w:proofErr w:type="spellStart"/>
      <w:r w:rsidRPr="00674E82">
        <w:rPr>
          <w:i/>
        </w:rPr>
        <w:t>связям</w:t>
      </w:r>
      <w:proofErr w:type="spellEnd"/>
      <w:r w:rsidRPr="00674E82">
        <w:rPr>
          <w:i/>
        </w:rPr>
        <w:t xml:space="preserve"> с </w:t>
      </w:r>
      <w:proofErr w:type="spellStart"/>
      <w:r w:rsidRPr="00674E82">
        <w:rPr>
          <w:i/>
        </w:rPr>
        <w:t>общественностью</w:t>
      </w:r>
      <w:proofErr w:type="spellEnd"/>
      <w:r w:rsidRPr="00674E82">
        <w:rPr>
          <w:i/>
        </w:rPr>
        <w:t xml:space="preserve"> LTAB </w:t>
      </w:r>
    </w:p>
    <w:p w14:paraId="7FF81D1A" w14:textId="77777777" w:rsidR="00674E82" w:rsidRPr="00674E82" w:rsidRDefault="00674E82" w:rsidP="00674E82">
      <w:pPr>
        <w:spacing w:after="0" w:line="240" w:lineRule="auto"/>
        <w:jc w:val="right"/>
        <w:rPr>
          <w:i/>
        </w:rPr>
      </w:pPr>
      <w:proofErr w:type="spellStart"/>
      <w:r w:rsidRPr="00674E82">
        <w:rPr>
          <w:i/>
        </w:rPr>
        <w:t>Гинтс</w:t>
      </w:r>
      <w:proofErr w:type="spellEnd"/>
      <w:r w:rsidRPr="00674E82">
        <w:rPr>
          <w:i/>
        </w:rPr>
        <w:t xml:space="preserve"> </w:t>
      </w:r>
      <w:proofErr w:type="spellStart"/>
      <w:r w:rsidRPr="00674E82">
        <w:rPr>
          <w:i/>
        </w:rPr>
        <w:t>Лаздиньш</w:t>
      </w:r>
      <w:proofErr w:type="spellEnd"/>
    </w:p>
    <w:p w14:paraId="6C817923" w14:textId="77777777" w:rsidR="00674E82" w:rsidRPr="00674E82" w:rsidRDefault="00674E82" w:rsidP="00674E82">
      <w:pPr>
        <w:spacing w:after="0" w:line="240" w:lineRule="auto"/>
        <w:jc w:val="right"/>
        <w:rPr>
          <w:i/>
        </w:rPr>
      </w:pPr>
      <w:proofErr w:type="spellStart"/>
      <w:r w:rsidRPr="00674E82">
        <w:rPr>
          <w:i/>
        </w:rPr>
        <w:t>Тел</w:t>
      </w:r>
      <w:proofErr w:type="spellEnd"/>
      <w:r w:rsidRPr="00674E82">
        <w:rPr>
          <w:i/>
        </w:rPr>
        <w:t xml:space="preserve">: +371 29442282 </w:t>
      </w:r>
    </w:p>
    <w:p w14:paraId="180D4362" w14:textId="3E1115F2" w:rsidR="00F4643E" w:rsidRPr="00674E82" w:rsidRDefault="00674E82" w:rsidP="00674E82">
      <w:pPr>
        <w:spacing w:after="0" w:line="240" w:lineRule="auto"/>
        <w:jc w:val="right"/>
        <w:rPr>
          <w:i/>
        </w:rPr>
      </w:pPr>
      <w:r w:rsidRPr="00674E82">
        <w:rPr>
          <w:i/>
        </w:rPr>
        <w:t>Э-</w:t>
      </w:r>
      <w:proofErr w:type="spellStart"/>
      <w:r w:rsidRPr="00674E82">
        <w:rPr>
          <w:i/>
        </w:rPr>
        <w:t>почта</w:t>
      </w:r>
      <w:proofErr w:type="spellEnd"/>
      <w:r w:rsidRPr="00674E82">
        <w:rPr>
          <w:i/>
        </w:rPr>
        <w:t>: gints@olsen.lv</w:t>
      </w:r>
    </w:p>
    <w:p w14:paraId="4743164C" w14:textId="4CF3F948" w:rsidR="00F4643E" w:rsidRDefault="00F4643E" w:rsidP="00F43CA6">
      <w:pPr>
        <w:spacing w:after="0" w:line="240" w:lineRule="auto"/>
        <w:jc w:val="both"/>
      </w:pPr>
    </w:p>
    <w:bookmarkEnd w:id="0"/>
    <w:p w14:paraId="09E46E88" w14:textId="6DC8436C" w:rsidR="00617E51" w:rsidRPr="00674E82" w:rsidRDefault="00617E51" w:rsidP="004827D3">
      <w:pPr>
        <w:spacing w:after="0" w:line="240" w:lineRule="auto"/>
        <w:jc w:val="right"/>
        <w:rPr>
          <w:sz w:val="16"/>
          <w:szCs w:val="16"/>
        </w:rPr>
      </w:pPr>
    </w:p>
    <w:sectPr w:rsidR="00617E51" w:rsidRPr="00674E82" w:rsidSect="0063036D">
      <w:headerReference w:type="default" r:id="rId10"/>
      <w:footerReference w:type="default" r:id="rId11"/>
      <w:pgSz w:w="11906" w:h="16838"/>
      <w:pgMar w:top="1178" w:right="849" w:bottom="993" w:left="851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FFBB" w14:textId="77777777" w:rsidR="000C1656" w:rsidRDefault="000C1656" w:rsidP="00C62AF7">
      <w:pPr>
        <w:spacing w:after="0" w:line="240" w:lineRule="auto"/>
      </w:pPr>
      <w:r>
        <w:separator/>
      </w:r>
    </w:p>
  </w:endnote>
  <w:endnote w:type="continuationSeparator" w:id="0">
    <w:p w14:paraId="7AB15F9A" w14:textId="77777777" w:rsidR="000C1656" w:rsidRDefault="000C1656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2833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8635222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6B89" w14:textId="77777777" w:rsidR="000C1656" w:rsidRDefault="000C1656" w:rsidP="00C62AF7">
      <w:pPr>
        <w:spacing w:after="0" w:line="240" w:lineRule="auto"/>
      </w:pPr>
      <w:r>
        <w:separator/>
      </w:r>
    </w:p>
  </w:footnote>
  <w:footnote w:type="continuationSeparator" w:id="0">
    <w:p w14:paraId="3EB71916" w14:textId="77777777" w:rsidR="000C1656" w:rsidRDefault="000C1656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8635222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862BA"/>
    <w:rsid w:val="00092E79"/>
    <w:rsid w:val="00094687"/>
    <w:rsid w:val="00095CC7"/>
    <w:rsid w:val="000A4262"/>
    <w:rsid w:val="000B1DBA"/>
    <w:rsid w:val="000C1656"/>
    <w:rsid w:val="000F17FE"/>
    <w:rsid w:val="000F3D98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A7A8B"/>
    <w:rsid w:val="001B1813"/>
    <w:rsid w:val="001C14D4"/>
    <w:rsid w:val="001C65E0"/>
    <w:rsid w:val="001C7562"/>
    <w:rsid w:val="001D3B28"/>
    <w:rsid w:val="001D6AEF"/>
    <w:rsid w:val="001E57C6"/>
    <w:rsid w:val="001E71BD"/>
    <w:rsid w:val="001F1824"/>
    <w:rsid w:val="001F3B92"/>
    <w:rsid w:val="00216C6A"/>
    <w:rsid w:val="002173F8"/>
    <w:rsid w:val="00221376"/>
    <w:rsid w:val="002277A1"/>
    <w:rsid w:val="00250F1C"/>
    <w:rsid w:val="002525C7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534CA"/>
    <w:rsid w:val="00463942"/>
    <w:rsid w:val="0046482D"/>
    <w:rsid w:val="004665D5"/>
    <w:rsid w:val="00470E12"/>
    <w:rsid w:val="00471AE6"/>
    <w:rsid w:val="00472967"/>
    <w:rsid w:val="004827D3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B0F55"/>
    <w:rsid w:val="005B15E8"/>
    <w:rsid w:val="005B5E63"/>
    <w:rsid w:val="005C0769"/>
    <w:rsid w:val="005D5FB2"/>
    <w:rsid w:val="005E1FE3"/>
    <w:rsid w:val="005E69F5"/>
    <w:rsid w:val="00617E51"/>
    <w:rsid w:val="0063036D"/>
    <w:rsid w:val="006416BA"/>
    <w:rsid w:val="00660902"/>
    <w:rsid w:val="006610B2"/>
    <w:rsid w:val="00674E82"/>
    <w:rsid w:val="006A55FE"/>
    <w:rsid w:val="006A6493"/>
    <w:rsid w:val="006B768B"/>
    <w:rsid w:val="006C4F73"/>
    <w:rsid w:val="006E02BB"/>
    <w:rsid w:val="006E217C"/>
    <w:rsid w:val="006E75CA"/>
    <w:rsid w:val="00703AF0"/>
    <w:rsid w:val="00713F2D"/>
    <w:rsid w:val="00717211"/>
    <w:rsid w:val="00721F1C"/>
    <w:rsid w:val="00742A6B"/>
    <w:rsid w:val="00765A4A"/>
    <w:rsid w:val="00780200"/>
    <w:rsid w:val="00784272"/>
    <w:rsid w:val="00795304"/>
    <w:rsid w:val="007B3B6B"/>
    <w:rsid w:val="007B675F"/>
    <w:rsid w:val="007C3730"/>
    <w:rsid w:val="007E77E8"/>
    <w:rsid w:val="008278BE"/>
    <w:rsid w:val="00850CCE"/>
    <w:rsid w:val="00867D74"/>
    <w:rsid w:val="00881B76"/>
    <w:rsid w:val="008A65AA"/>
    <w:rsid w:val="008D1434"/>
    <w:rsid w:val="008D7575"/>
    <w:rsid w:val="009124FD"/>
    <w:rsid w:val="009156D3"/>
    <w:rsid w:val="00935173"/>
    <w:rsid w:val="00936462"/>
    <w:rsid w:val="00941CB7"/>
    <w:rsid w:val="00953B8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B284C"/>
    <w:rsid w:val="009B6953"/>
    <w:rsid w:val="009D0A59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7357B"/>
    <w:rsid w:val="00BB784E"/>
    <w:rsid w:val="00BC25C6"/>
    <w:rsid w:val="00BC582F"/>
    <w:rsid w:val="00BC6C58"/>
    <w:rsid w:val="00BD70FD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B74AC"/>
    <w:rsid w:val="00DD7C40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730A3"/>
    <w:rsid w:val="00E8391D"/>
    <w:rsid w:val="00E9038F"/>
    <w:rsid w:val="00E914E5"/>
    <w:rsid w:val="00E91AD3"/>
    <w:rsid w:val="00EA42C0"/>
    <w:rsid w:val="00EC201D"/>
    <w:rsid w:val="00EC3E3F"/>
    <w:rsid w:val="00EC50B3"/>
    <w:rsid w:val="00ED0BE0"/>
    <w:rsid w:val="00EF1BCF"/>
    <w:rsid w:val="00F0210F"/>
    <w:rsid w:val="00F06838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0350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30D4C5FE-E23A-4994-9700-C7E5B5D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.W.%20Olsen\AppData\Local\Microsoft\Windows\INetCache\Content.Outlook\KB9PV51S\neapdr_mo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.W.%20Olsen\AppData\Local\Microsoft\Windows\INetCache\Content.Outlook\KB9PV51S\neapdr_mo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.W.%20Olsen\AppData\Local\Microsoft\Windows\INetCache\Content.Outlook\KB9PV51S\neapdr_mot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[neapdr_moto.xlsx]Neapdr_moto!$B$1</c:f>
              <c:strCache>
                <c:ptCount val="1"/>
                <c:pt idx="0">
                  <c:v>Количество ДТП, вызванных мототранспортным средством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[neapdr_moto.xlsx]Neapdr_moto!$A$2:$A$6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xVal>
          <c:yVal>
            <c:numRef>
              <c:f>[neapdr_moto.xlsx]Neapdr_moto!$B$2:$B$6</c:f>
              <c:numCache>
                <c:formatCode>General</c:formatCode>
                <c:ptCount val="5"/>
                <c:pt idx="0">
                  <c:v>223</c:v>
                </c:pt>
                <c:pt idx="1">
                  <c:v>228</c:v>
                </c:pt>
                <c:pt idx="2">
                  <c:v>265</c:v>
                </c:pt>
                <c:pt idx="3">
                  <c:v>239</c:v>
                </c:pt>
                <c:pt idx="4">
                  <c:v>208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8E7-49C9-BF89-AB3C1AF326E6}"/>
            </c:ext>
          </c:extLst>
        </c:ser>
        <c:ser>
          <c:idx val="1"/>
          <c:order val="1"/>
          <c:tx>
            <c:strRef>
              <c:f>[neapdr_moto.xlsx]Neapdr_moto!$C$1</c:f>
              <c:strCache>
                <c:ptCount val="1"/>
                <c:pt idx="0">
                  <c:v>Количество ДТП, вызванных незастрахованным мототранспортным средством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[neapdr_moto.xlsx]Neapdr_moto!$A$2:$A$6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xVal>
          <c:yVal>
            <c:numRef>
              <c:f>[neapdr_moto.xlsx]Neapdr_moto!$C$2:$C$6</c:f>
              <c:numCache>
                <c:formatCode>General</c:formatCode>
                <c:ptCount val="5"/>
                <c:pt idx="0">
                  <c:v>15</c:v>
                </c:pt>
                <c:pt idx="1">
                  <c:v>9</c:v>
                </c:pt>
                <c:pt idx="2">
                  <c:v>28</c:v>
                </c:pt>
                <c:pt idx="3">
                  <c:v>21</c:v>
                </c:pt>
                <c:pt idx="4">
                  <c:v>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8E7-49C9-BF89-AB3C1AF326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886256"/>
        <c:axId val="195881336"/>
      </c:scatterChart>
      <c:valAx>
        <c:axId val="195886256"/>
        <c:scaling>
          <c:orientation val="minMax"/>
          <c:max val="2017"/>
          <c:min val="2013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95881336"/>
        <c:crosses val="autoZero"/>
        <c:crossBetween val="midCat"/>
        <c:majorUnit val="1"/>
        <c:minorUnit val="1"/>
      </c:valAx>
      <c:valAx>
        <c:axId val="195881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958862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Возраст незастрахованного мототранспортного средства, вызвавшего</a:t>
            </a:r>
            <a:r>
              <a:rPr lang="ru-RU" sz="1000" baseline="0"/>
              <a:t> ДТП </a:t>
            </a:r>
            <a:r>
              <a:rPr lang="lv-LV" sz="1000"/>
              <a:t> (2013. - 2017.)</a:t>
            </a:r>
            <a:endParaRPr lang="en-GB" sz="1000"/>
          </a:p>
        </c:rich>
      </c:tx>
      <c:layout>
        <c:manualLayout>
          <c:xMode val="edge"/>
          <c:yMode val="edge"/>
          <c:x val="0.10857249032068299"/>
          <c:y val="2.8197377199867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[neapdr_moto.xlsx]Neapdr_moto!$L$1</c:f>
              <c:strCache>
                <c:ptCount val="1"/>
                <c:pt idx="0">
                  <c:v>CSNg skaits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[neapdr_moto.xlsx]Neapdr_moto!$K$2:$K$27</c:f>
              <c:strCache>
                <c:ptCount val="26"/>
                <c:pt idx="0">
                  <c:v>0 - 5</c:v>
                </c:pt>
                <c:pt idx="6">
                  <c:v>6-10</c:v>
                </c:pt>
                <c:pt idx="11">
                  <c:v>11-15</c:v>
                </c:pt>
                <c:pt idx="16">
                  <c:v>16-20</c:v>
                </c:pt>
                <c:pt idx="21">
                  <c:v>&gt;20</c:v>
                </c:pt>
                <c:pt idx="25">
                  <c:v>не известно</c:v>
                </c:pt>
              </c:strCache>
            </c:strRef>
          </c:cat>
          <c:val>
            <c:numRef>
              <c:f>[neapdr_moto.xlsx]Neapdr_moto!$L$2:$L$27</c:f>
              <c:numCache>
                <c:formatCode>General</c:formatCode>
                <c:ptCount val="26"/>
                <c:pt idx="0">
                  <c:v>25</c:v>
                </c:pt>
                <c:pt idx="6">
                  <c:v>35</c:v>
                </c:pt>
                <c:pt idx="11">
                  <c:v>14</c:v>
                </c:pt>
                <c:pt idx="16">
                  <c:v>10</c:v>
                </c:pt>
                <c:pt idx="21">
                  <c:v>7</c:v>
                </c:pt>
                <c:pt idx="2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8-4070-BA4E-8352CBC32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8575520"/>
        <c:axId val="468576504"/>
        <c:axId val="0"/>
      </c:bar3DChart>
      <c:catAx>
        <c:axId val="46857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68576504"/>
        <c:crosses val="autoZero"/>
        <c:auto val="1"/>
        <c:lblAlgn val="ctr"/>
        <c:lblOffset val="100"/>
        <c:noMultiLvlLbl val="0"/>
      </c:catAx>
      <c:valAx>
        <c:axId val="468576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6857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u="none" strike="noStrike" baseline="0">
                <a:solidFill>
                  <a:sysClr val="windowText" lastClr="000000"/>
                </a:solidFill>
                <a:effectLst/>
              </a:rPr>
              <a:t>Средний возраст водителя незастрахованного транспортного средства, вызвавшего ДТП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lv-LV" sz="1000" b="0" i="0" u="none" strike="noStrike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lv-LV" sz="1000" b="0" i="0" baseline="0">
                <a:solidFill>
                  <a:sysClr val="windowText" lastClr="000000"/>
                </a:solidFill>
                <a:effectLst/>
              </a:rPr>
              <a:t>(2013. - 2017.)</a:t>
            </a:r>
            <a:endParaRPr lang="lv-LV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[neapdr_moto.xlsx]Neapdr_moto!$F$1</c:f>
              <c:strCache>
                <c:ptCount val="1"/>
                <c:pt idx="0">
                  <c:v>Izraisīto CSNg skaits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[neapdr_moto.xlsx]Neapdr_moto!$E$2:$E$7</c:f>
              <c:strCache>
                <c:ptCount val="6"/>
                <c:pt idx="0">
                  <c:v>&lt;18</c:v>
                </c:pt>
                <c:pt idx="1">
                  <c:v>18-25</c:v>
                </c:pt>
                <c:pt idx="2">
                  <c:v>25-40</c:v>
                </c:pt>
                <c:pt idx="3">
                  <c:v>40-60</c:v>
                </c:pt>
                <c:pt idx="4">
                  <c:v>&gt;60</c:v>
                </c:pt>
                <c:pt idx="5">
                  <c:v>не известно</c:v>
                </c:pt>
              </c:strCache>
            </c:strRef>
          </c:cat>
          <c:val>
            <c:numRef>
              <c:f>[neapdr_moto.xlsx]Neapdr_moto!$F$2:$F$7</c:f>
              <c:numCache>
                <c:formatCode>General</c:formatCode>
                <c:ptCount val="6"/>
                <c:pt idx="0">
                  <c:v>16</c:v>
                </c:pt>
                <c:pt idx="1">
                  <c:v>19</c:v>
                </c:pt>
                <c:pt idx="2">
                  <c:v>29</c:v>
                </c:pt>
                <c:pt idx="3">
                  <c:v>28</c:v>
                </c:pt>
                <c:pt idx="4">
                  <c:v>7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11-46EA-9602-CA06FDFCD2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7545992"/>
        <c:axId val="537542712"/>
      </c:barChart>
      <c:catAx>
        <c:axId val="537545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37542712"/>
        <c:crosses val="autoZero"/>
        <c:auto val="1"/>
        <c:lblAlgn val="ctr"/>
        <c:lblOffset val="100"/>
        <c:noMultiLvlLbl val="0"/>
      </c:catAx>
      <c:valAx>
        <c:axId val="537542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537545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A1DD-089C-4FCB-9C84-E915C705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2018-04-27T13:37:00Z</dcterms:created>
  <dcterms:modified xsi:type="dcterms:W3CDTF">2018-04-27T13:37:00Z</dcterms:modified>
</cp:coreProperties>
</file>