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282F5A6E" w:rsidR="00E21F46" w:rsidRPr="0063036D" w:rsidRDefault="00E21F46" w:rsidP="00E21F46">
      <w:pPr>
        <w:spacing w:after="0" w:line="240" w:lineRule="auto"/>
        <w:jc w:val="right"/>
        <w:rPr>
          <w:sz w:val="20"/>
          <w:szCs w:val="20"/>
        </w:rPr>
      </w:pPr>
      <w:bookmarkStart w:id="0" w:name="_Hlk504469613"/>
      <w:r w:rsidRPr="0063036D">
        <w:rPr>
          <w:sz w:val="20"/>
          <w:szCs w:val="20"/>
        </w:rPr>
        <w:t xml:space="preserve">Informācija </w:t>
      </w:r>
      <w:r w:rsidR="0063036D">
        <w:rPr>
          <w:sz w:val="20"/>
          <w:szCs w:val="20"/>
        </w:rPr>
        <w:t>masu medijiem</w:t>
      </w:r>
    </w:p>
    <w:p w14:paraId="755FEFD0" w14:textId="103BC025" w:rsidR="00E21F46" w:rsidRDefault="009571FC" w:rsidP="00E21F46">
      <w:pPr>
        <w:spacing w:after="0" w:line="240" w:lineRule="auto"/>
        <w:jc w:val="right"/>
        <w:rPr>
          <w:sz w:val="20"/>
          <w:szCs w:val="20"/>
        </w:rPr>
      </w:pPr>
      <w:r>
        <w:rPr>
          <w:sz w:val="20"/>
          <w:szCs w:val="20"/>
        </w:rPr>
        <w:t>09.05</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4AACFF74" w14:textId="15937214" w:rsidR="00C7196C" w:rsidRDefault="009571FC" w:rsidP="00F43CA6">
      <w:pPr>
        <w:spacing w:after="0" w:line="240" w:lineRule="auto"/>
        <w:jc w:val="both"/>
        <w:rPr>
          <w:b/>
          <w:bCs/>
          <w:sz w:val="28"/>
          <w:szCs w:val="28"/>
        </w:rPr>
      </w:pPr>
      <w:r>
        <w:rPr>
          <w:b/>
          <w:bCs/>
          <w:sz w:val="28"/>
          <w:szCs w:val="28"/>
        </w:rPr>
        <w:t xml:space="preserve">Šī gada pirmo ceturksni OCTA nozare noslēdz ar </w:t>
      </w:r>
      <w:r w:rsidR="00301F2A">
        <w:rPr>
          <w:b/>
          <w:bCs/>
          <w:sz w:val="28"/>
          <w:szCs w:val="28"/>
        </w:rPr>
        <w:t xml:space="preserve">nelieliem </w:t>
      </w:r>
      <w:r>
        <w:rPr>
          <w:b/>
          <w:bCs/>
          <w:sz w:val="28"/>
          <w:szCs w:val="28"/>
        </w:rPr>
        <w:t>zaudējumiem</w:t>
      </w:r>
    </w:p>
    <w:p w14:paraId="5077CCC1" w14:textId="77777777" w:rsidR="00C7196C" w:rsidRDefault="00C7196C" w:rsidP="00F43CA6">
      <w:pPr>
        <w:spacing w:after="0" w:line="240" w:lineRule="auto"/>
        <w:jc w:val="both"/>
        <w:rPr>
          <w:b/>
        </w:rPr>
      </w:pPr>
    </w:p>
    <w:p w14:paraId="6C7F6A94" w14:textId="7EE38461" w:rsidR="00F43CA6" w:rsidRPr="00FA628A" w:rsidRDefault="00F43CA6" w:rsidP="00F43CA6">
      <w:pPr>
        <w:spacing w:after="0" w:line="240" w:lineRule="auto"/>
        <w:jc w:val="both"/>
        <w:rPr>
          <w:b/>
          <w:sz w:val="24"/>
          <w:szCs w:val="24"/>
        </w:rPr>
      </w:pPr>
      <w:bookmarkStart w:id="1" w:name="_GoBack"/>
      <w:r w:rsidRPr="00FA628A">
        <w:rPr>
          <w:b/>
          <w:sz w:val="24"/>
          <w:szCs w:val="24"/>
        </w:rPr>
        <w:t>Latvijas Transportlīdzekļu apdrošinātāju biroja (turpmāk – LTAB) apkopot</w:t>
      </w:r>
      <w:r w:rsidR="009571FC" w:rsidRPr="00FA628A">
        <w:rPr>
          <w:b/>
          <w:sz w:val="24"/>
          <w:szCs w:val="24"/>
        </w:rPr>
        <w:t>ie</w:t>
      </w:r>
      <w:r w:rsidRPr="00FA628A">
        <w:rPr>
          <w:b/>
          <w:sz w:val="24"/>
          <w:szCs w:val="24"/>
        </w:rPr>
        <w:t xml:space="preserve"> </w:t>
      </w:r>
      <w:r w:rsidR="009571FC" w:rsidRPr="00FA628A">
        <w:rPr>
          <w:b/>
          <w:sz w:val="24"/>
          <w:szCs w:val="24"/>
        </w:rPr>
        <w:t>dati liecina, ka</w:t>
      </w:r>
      <w:r w:rsidR="00A2128B">
        <w:rPr>
          <w:b/>
          <w:sz w:val="24"/>
          <w:szCs w:val="24"/>
        </w:rPr>
        <w:t>,</w:t>
      </w:r>
      <w:r w:rsidR="0024541D">
        <w:rPr>
          <w:b/>
          <w:sz w:val="24"/>
          <w:szCs w:val="24"/>
        </w:rPr>
        <w:t xml:space="preserve"> </w:t>
      </w:r>
      <w:r w:rsidR="009571FC" w:rsidRPr="00FA628A">
        <w:rPr>
          <w:b/>
          <w:sz w:val="24"/>
          <w:szCs w:val="24"/>
        </w:rPr>
        <w:t>OCTA nozare šī gada pirmajos 3 mēnešos strādājusi ar 120 tūkstošu EUR lieliem zaudējumiem</w:t>
      </w:r>
      <w:r w:rsidRPr="00FA628A">
        <w:rPr>
          <w:b/>
          <w:sz w:val="24"/>
          <w:szCs w:val="24"/>
        </w:rPr>
        <w:t>.</w:t>
      </w:r>
      <w:r w:rsidR="0024541D">
        <w:rPr>
          <w:b/>
          <w:sz w:val="24"/>
          <w:szCs w:val="24"/>
        </w:rPr>
        <w:t xml:space="preserve"> Neskatoties uz ievērojamo atlīdzību pieaugumu nozarē, inflācijas kāpumu un citiem faktoriem, šis ir pēdējos gados vēsturiski mazākais 1.ceturkšņa zaudējumu apjoms.</w:t>
      </w:r>
    </w:p>
    <w:bookmarkEnd w:id="1"/>
    <w:p w14:paraId="38652566" w14:textId="4D5E8737" w:rsidR="00F0210F" w:rsidRDefault="00F0210F" w:rsidP="00F43CA6">
      <w:pPr>
        <w:spacing w:after="0" w:line="240" w:lineRule="auto"/>
        <w:jc w:val="both"/>
      </w:pPr>
    </w:p>
    <w:p w14:paraId="5B290C6F" w14:textId="33D251E6" w:rsidR="00E5024C" w:rsidRPr="00FA628A" w:rsidRDefault="009571FC" w:rsidP="00F43CA6">
      <w:pPr>
        <w:spacing w:after="0" w:line="240" w:lineRule="auto"/>
        <w:jc w:val="both"/>
        <w:rPr>
          <w:sz w:val="24"/>
          <w:szCs w:val="24"/>
        </w:rPr>
      </w:pPr>
      <w:r w:rsidRPr="00FA628A">
        <w:rPr>
          <w:sz w:val="24"/>
          <w:szCs w:val="24"/>
        </w:rPr>
        <w:t xml:space="preserve">“Zaudējumu apmērs šī gada pirmajā ceturksnī ir vēsturiski </w:t>
      </w:r>
      <w:r w:rsidR="0024541D">
        <w:rPr>
          <w:sz w:val="24"/>
          <w:szCs w:val="24"/>
        </w:rPr>
        <w:t>mazākais</w:t>
      </w:r>
      <w:r w:rsidR="0024541D" w:rsidRPr="00FA628A">
        <w:rPr>
          <w:sz w:val="24"/>
          <w:szCs w:val="24"/>
        </w:rPr>
        <w:t xml:space="preserve"> </w:t>
      </w:r>
      <w:r w:rsidR="00E5024C" w:rsidRPr="00FA628A">
        <w:rPr>
          <w:sz w:val="24"/>
          <w:szCs w:val="24"/>
        </w:rPr>
        <w:t xml:space="preserve">kopš </w:t>
      </w:r>
      <w:proofErr w:type="gramStart"/>
      <w:r w:rsidR="00E5024C" w:rsidRPr="00FA628A">
        <w:rPr>
          <w:sz w:val="24"/>
          <w:szCs w:val="24"/>
        </w:rPr>
        <w:t>2009.gada</w:t>
      </w:r>
      <w:proofErr w:type="gramEnd"/>
      <w:r w:rsidR="00E5024C" w:rsidRPr="00FA628A">
        <w:rPr>
          <w:sz w:val="24"/>
          <w:szCs w:val="24"/>
        </w:rPr>
        <w:t>, kad OCTA nozare pēdējo reizi strādāja bez zaudējumiem. Lielā mērā tas ir</w:t>
      </w:r>
      <w:proofErr w:type="gramStart"/>
      <w:r w:rsidR="004B4838" w:rsidRPr="00FA628A">
        <w:rPr>
          <w:sz w:val="24"/>
          <w:szCs w:val="24"/>
        </w:rPr>
        <w:t xml:space="preserve"> pateicoties apdrošināšanas prēmiju pieaugumam</w:t>
      </w:r>
      <w:proofErr w:type="gramEnd"/>
      <w:r w:rsidR="00E5024C" w:rsidRPr="00FA628A">
        <w:rPr>
          <w:sz w:val="24"/>
          <w:szCs w:val="24"/>
        </w:rPr>
        <w:t xml:space="preserve">, </w:t>
      </w:r>
      <w:r w:rsidR="00EF4E85">
        <w:rPr>
          <w:sz w:val="24"/>
          <w:szCs w:val="24"/>
        </w:rPr>
        <w:t>kas ļauj</w:t>
      </w:r>
      <w:r w:rsidR="00E5024C" w:rsidRPr="00FA628A">
        <w:rPr>
          <w:sz w:val="24"/>
          <w:szCs w:val="24"/>
        </w:rPr>
        <w:t xml:space="preserve"> apdrošinātājiem segt ne vien pieaugušās atlīdzību izmaksas, bet arī inflācijas radīto cenu kāpumu, kas vērojams gandrīz visās ekonomikas nozarēs,” skaidro LTAB valdes priekšsēdētājs Jānis Abāšins.</w:t>
      </w:r>
    </w:p>
    <w:p w14:paraId="4A4EC0EA" w14:textId="77777777" w:rsidR="00A2128B" w:rsidRDefault="00A2128B" w:rsidP="00A2128B">
      <w:pPr>
        <w:spacing w:after="0" w:line="240" w:lineRule="auto"/>
        <w:jc w:val="both"/>
        <w:rPr>
          <w:sz w:val="24"/>
          <w:szCs w:val="24"/>
        </w:rPr>
      </w:pPr>
    </w:p>
    <w:p w14:paraId="0F14B402" w14:textId="284A6D45" w:rsidR="00A2128B" w:rsidRPr="00FA628A" w:rsidDel="00A2128B" w:rsidRDefault="00A2128B" w:rsidP="00A2128B">
      <w:pPr>
        <w:spacing w:after="0" w:line="240" w:lineRule="auto"/>
        <w:jc w:val="both"/>
        <w:rPr>
          <w:sz w:val="24"/>
          <w:szCs w:val="24"/>
        </w:rPr>
      </w:pPr>
      <w:r w:rsidRPr="00FA628A" w:rsidDel="00A2128B">
        <w:rPr>
          <w:sz w:val="24"/>
          <w:szCs w:val="24"/>
        </w:rPr>
        <w:t xml:space="preserve">Lai arī salīdzinot ar pērnā gada pirmajiem trim mēnešiem par gandrīz 10% samazinājies apdrošinātājiem pieteikto </w:t>
      </w:r>
      <w:proofErr w:type="spellStart"/>
      <w:r w:rsidRPr="00FA628A" w:rsidDel="00A2128B">
        <w:rPr>
          <w:sz w:val="24"/>
          <w:szCs w:val="24"/>
        </w:rPr>
        <w:t>CSNg</w:t>
      </w:r>
      <w:proofErr w:type="spellEnd"/>
      <w:r w:rsidRPr="00FA628A" w:rsidDel="00A2128B">
        <w:rPr>
          <w:sz w:val="24"/>
          <w:szCs w:val="24"/>
        </w:rPr>
        <w:t xml:space="preserve"> skaits, kopējā atlīdzību summa pieaugusi par vairāk nekā 10%, savukārt vidējā atlīdzība – no 762 EUR pērnā gada pirmajā ceturksnī uz 830 EUR šogad.</w:t>
      </w:r>
    </w:p>
    <w:p w14:paraId="1514FCC6" w14:textId="4A4BAA79" w:rsidR="00E5024C" w:rsidRPr="00FA628A" w:rsidRDefault="00E5024C" w:rsidP="00F43CA6">
      <w:pPr>
        <w:spacing w:after="0" w:line="240" w:lineRule="auto"/>
        <w:jc w:val="both"/>
        <w:rPr>
          <w:sz w:val="24"/>
          <w:szCs w:val="24"/>
        </w:rPr>
      </w:pPr>
    </w:p>
    <w:p w14:paraId="6334A426" w14:textId="40685B73" w:rsidR="00BC18E6" w:rsidRPr="00FA628A" w:rsidDel="00A2128B" w:rsidRDefault="00BC18E6" w:rsidP="00F43CA6">
      <w:pPr>
        <w:spacing w:after="0" w:line="240" w:lineRule="auto"/>
        <w:jc w:val="both"/>
        <w:rPr>
          <w:sz w:val="24"/>
          <w:szCs w:val="24"/>
        </w:rPr>
      </w:pPr>
      <w:r w:rsidRPr="00FA628A" w:rsidDel="00A2128B">
        <w:rPr>
          <w:sz w:val="24"/>
          <w:szCs w:val="24"/>
        </w:rPr>
        <w:t xml:space="preserve">“Redzam, ka samazinās arī apdrošinātāju darbības tehniskie izdevumi, kas liecina, ka OCTA nozare kļūst efektīvāka. </w:t>
      </w:r>
      <w:r w:rsidR="00FA628A" w:rsidRPr="00FA628A" w:rsidDel="00A2128B">
        <w:rPr>
          <w:sz w:val="24"/>
          <w:szCs w:val="24"/>
        </w:rPr>
        <w:t>Ja nepiedzīvosim strauju inflācijas pieaugumu vai citus neparedzētus riskus, ir pamats</w:t>
      </w:r>
      <w:r w:rsidRPr="00FA628A" w:rsidDel="00A2128B">
        <w:rPr>
          <w:sz w:val="24"/>
          <w:szCs w:val="24"/>
        </w:rPr>
        <w:t xml:space="preserve"> cerēt, ka zaudējumu apmērs šī gada ietvaros ievērojami nepieaugs</w:t>
      </w:r>
      <w:r w:rsidR="00FA628A" w:rsidRPr="00FA628A" w:rsidDel="00A2128B">
        <w:rPr>
          <w:sz w:val="24"/>
          <w:szCs w:val="24"/>
        </w:rPr>
        <w:t xml:space="preserve">,” prognozē </w:t>
      </w:r>
      <w:proofErr w:type="spellStart"/>
      <w:r w:rsidR="00FA628A" w:rsidRPr="00FA628A" w:rsidDel="00A2128B">
        <w:rPr>
          <w:sz w:val="24"/>
          <w:szCs w:val="24"/>
        </w:rPr>
        <w:t>J.Abāšins</w:t>
      </w:r>
      <w:proofErr w:type="spellEnd"/>
      <w:r w:rsidR="00FA628A" w:rsidRPr="00FA628A" w:rsidDel="00A2128B">
        <w:rPr>
          <w:sz w:val="24"/>
          <w:szCs w:val="24"/>
        </w:rPr>
        <w:t>.</w:t>
      </w:r>
    </w:p>
    <w:p w14:paraId="266C98F0" w14:textId="77777777" w:rsidR="003215C1" w:rsidRPr="00FA628A" w:rsidRDefault="003215C1" w:rsidP="00F43CA6">
      <w:pPr>
        <w:spacing w:after="0" w:line="240" w:lineRule="auto"/>
        <w:jc w:val="both"/>
        <w:rPr>
          <w:sz w:val="24"/>
          <w:szCs w:val="24"/>
        </w:rPr>
      </w:pPr>
    </w:p>
    <w:p w14:paraId="2F7D8546" w14:textId="06BB17B3" w:rsidR="00AB2640" w:rsidRPr="00FA628A" w:rsidRDefault="00AB2640" w:rsidP="00F43CA6">
      <w:pPr>
        <w:spacing w:after="0" w:line="240" w:lineRule="auto"/>
        <w:jc w:val="both"/>
        <w:rPr>
          <w:sz w:val="24"/>
          <w:szCs w:val="24"/>
        </w:rPr>
      </w:pPr>
      <w:r w:rsidRPr="00FA628A">
        <w:rPr>
          <w:sz w:val="24"/>
          <w:szCs w:val="24"/>
        </w:rPr>
        <w:t xml:space="preserve">1997. gadā Latvijā tika ieviesta OCTA sistēma, kuras mērķis ir nodrošināt ceļu satiksmes negadījumā cietušo trešo personu interešu aizsardzību Latvijā un Zaļās kartes sistēmas dalībvalstīs. Sistēmas darbības sekmīgākai nodrošināšanai ir izveidots LTAB, kurā apvienojušās apdrošināšanas sabiedrības, kurām ir tiesības veikt OCTA apdrošināšanu Latvijā – AAS “Balta”, AAS “Baltijas Apdrošināšanas Nams”, AAS “BTA Baltic </w:t>
      </w:r>
      <w:proofErr w:type="spellStart"/>
      <w:r w:rsidRPr="00FA628A">
        <w:rPr>
          <w:sz w:val="24"/>
          <w:szCs w:val="24"/>
        </w:rPr>
        <w:t>Insurance</w:t>
      </w:r>
      <w:proofErr w:type="spellEnd"/>
      <w:r w:rsidRPr="00FA628A">
        <w:rPr>
          <w:sz w:val="24"/>
          <w:szCs w:val="24"/>
        </w:rPr>
        <w:t xml:space="preserve"> </w:t>
      </w:r>
      <w:proofErr w:type="spellStart"/>
      <w:r w:rsidRPr="00FA628A">
        <w:rPr>
          <w:sz w:val="24"/>
          <w:szCs w:val="24"/>
        </w:rPr>
        <w:t>Company</w:t>
      </w:r>
      <w:proofErr w:type="spellEnd"/>
      <w:r w:rsidRPr="00FA628A">
        <w:rPr>
          <w:sz w:val="24"/>
          <w:szCs w:val="24"/>
        </w:rPr>
        <w:t>”, “</w:t>
      </w:r>
      <w:proofErr w:type="spellStart"/>
      <w:r w:rsidRPr="00FA628A">
        <w:rPr>
          <w:sz w:val="24"/>
          <w:szCs w:val="24"/>
        </w:rPr>
        <w:t>Compensa</w:t>
      </w:r>
      <w:proofErr w:type="spellEnd"/>
      <w:r w:rsidRPr="00FA628A">
        <w:rPr>
          <w:sz w:val="24"/>
          <w:szCs w:val="24"/>
        </w:rPr>
        <w:t xml:space="preserve"> </w:t>
      </w:r>
      <w:proofErr w:type="spellStart"/>
      <w:r w:rsidRPr="00FA628A">
        <w:rPr>
          <w:sz w:val="24"/>
          <w:szCs w:val="24"/>
        </w:rPr>
        <w:t>Vienna</w:t>
      </w:r>
      <w:proofErr w:type="spellEnd"/>
      <w:r w:rsidRPr="00FA628A">
        <w:rPr>
          <w:sz w:val="24"/>
          <w:szCs w:val="24"/>
        </w:rPr>
        <w:t xml:space="preserve"> </w:t>
      </w:r>
      <w:proofErr w:type="spellStart"/>
      <w:r w:rsidRPr="00FA628A">
        <w:rPr>
          <w:sz w:val="24"/>
          <w:szCs w:val="24"/>
        </w:rPr>
        <w:t>Insurance</w:t>
      </w:r>
      <w:proofErr w:type="spellEnd"/>
      <w:r w:rsidRPr="00FA628A">
        <w:rPr>
          <w:sz w:val="24"/>
          <w:szCs w:val="24"/>
        </w:rPr>
        <w:t xml:space="preserve"> </w:t>
      </w:r>
      <w:proofErr w:type="spellStart"/>
      <w:r w:rsidRPr="00FA628A">
        <w:rPr>
          <w:sz w:val="24"/>
          <w:szCs w:val="24"/>
        </w:rPr>
        <w:t>Group</w:t>
      </w:r>
      <w:proofErr w:type="spellEnd"/>
      <w:r w:rsidRPr="00FA628A">
        <w:rPr>
          <w:sz w:val="24"/>
          <w:szCs w:val="24"/>
        </w:rPr>
        <w:t xml:space="preserve">” ADB Latvijas filiāle, “ERGO </w:t>
      </w:r>
      <w:proofErr w:type="spellStart"/>
      <w:r w:rsidRPr="00FA628A">
        <w:rPr>
          <w:sz w:val="24"/>
          <w:szCs w:val="24"/>
        </w:rPr>
        <w:t>Insurance</w:t>
      </w:r>
      <w:proofErr w:type="spellEnd"/>
      <w:r w:rsidRPr="00FA628A">
        <w:rPr>
          <w:sz w:val="24"/>
          <w:szCs w:val="24"/>
        </w:rPr>
        <w:t>” SE Latvijas filiāle, ADB “Gjensidige” Latvijas filiāle, “</w:t>
      </w:r>
      <w:proofErr w:type="spellStart"/>
      <w:r w:rsidRPr="00FA628A">
        <w:rPr>
          <w:sz w:val="24"/>
          <w:szCs w:val="24"/>
        </w:rPr>
        <w:t>If</w:t>
      </w:r>
      <w:proofErr w:type="spellEnd"/>
      <w:r w:rsidRPr="00FA628A">
        <w:rPr>
          <w:sz w:val="24"/>
          <w:szCs w:val="24"/>
        </w:rPr>
        <w:t xml:space="preserve"> P&amp;C </w:t>
      </w:r>
      <w:proofErr w:type="spellStart"/>
      <w:r w:rsidRPr="00FA628A">
        <w:rPr>
          <w:sz w:val="24"/>
          <w:szCs w:val="24"/>
        </w:rPr>
        <w:t>Insurance</w:t>
      </w:r>
      <w:proofErr w:type="spellEnd"/>
      <w:r w:rsidRPr="00FA628A">
        <w:rPr>
          <w:sz w:val="24"/>
          <w:szCs w:val="24"/>
        </w:rPr>
        <w:t>” AS Latvijas filiāle, “</w:t>
      </w:r>
      <w:proofErr w:type="spellStart"/>
      <w:r w:rsidRPr="00FA628A">
        <w:rPr>
          <w:sz w:val="24"/>
          <w:szCs w:val="24"/>
        </w:rPr>
        <w:t>Seesam</w:t>
      </w:r>
      <w:proofErr w:type="spellEnd"/>
      <w:r w:rsidRPr="00FA628A">
        <w:rPr>
          <w:sz w:val="24"/>
          <w:szCs w:val="24"/>
        </w:rPr>
        <w:t xml:space="preserve"> </w:t>
      </w:r>
      <w:proofErr w:type="spellStart"/>
      <w:r w:rsidRPr="00FA628A">
        <w:rPr>
          <w:sz w:val="24"/>
          <w:szCs w:val="24"/>
        </w:rPr>
        <w:t>Insurance</w:t>
      </w:r>
      <w:proofErr w:type="spellEnd"/>
      <w:r w:rsidRPr="00FA628A">
        <w:rPr>
          <w:sz w:val="24"/>
          <w:szCs w:val="24"/>
        </w:rPr>
        <w:t>” AS Latvijas filiāle un “</w:t>
      </w:r>
      <w:proofErr w:type="spellStart"/>
      <w:r w:rsidRPr="00FA628A">
        <w:rPr>
          <w:sz w:val="24"/>
          <w:szCs w:val="24"/>
        </w:rPr>
        <w:t>Swedbank</w:t>
      </w:r>
      <w:proofErr w:type="spellEnd"/>
      <w:r w:rsidRPr="00FA628A">
        <w:rPr>
          <w:sz w:val="24"/>
          <w:szCs w:val="24"/>
        </w:rPr>
        <w:t xml:space="preserve"> P&amp;C </w:t>
      </w:r>
      <w:proofErr w:type="spellStart"/>
      <w:r w:rsidRPr="00FA628A">
        <w:rPr>
          <w:sz w:val="24"/>
          <w:szCs w:val="24"/>
        </w:rPr>
        <w:t>Insurance</w:t>
      </w:r>
      <w:proofErr w:type="spellEnd"/>
      <w:r w:rsidRPr="00FA628A">
        <w:rPr>
          <w:sz w:val="24"/>
          <w:szCs w:val="24"/>
        </w:rPr>
        <w:t>” AS Latvijas filiāle.</w:t>
      </w:r>
    </w:p>
    <w:p w14:paraId="5288F4E9" w14:textId="77777777" w:rsidR="00FA628A" w:rsidRPr="00F43CA6" w:rsidRDefault="00FA628A" w:rsidP="00F43CA6">
      <w:pPr>
        <w:spacing w:after="0" w:line="240" w:lineRule="auto"/>
        <w:jc w:val="both"/>
      </w:pPr>
    </w:p>
    <w:p w14:paraId="044DEE2E" w14:textId="3CB70E0A" w:rsidR="001572F7" w:rsidRPr="0063036D" w:rsidRDefault="001572F7" w:rsidP="00057CFE">
      <w:pPr>
        <w:spacing w:after="0" w:line="240" w:lineRule="auto"/>
        <w:jc w:val="both"/>
        <w:rPr>
          <w:sz w:val="16"/>
          <w:szCs w:val="16"/>
        </w:rPr>
      </w:pPr>
    </w:p>
    <w:p w14:paraId="594EAC53" w14:textId="77777777" w:rsidR="00E21F46" w:rsidRPr="0063036D" w:rsidRDefault="00E21F46" w:rsidP="00057CFE">
      <w:pPr>
        <w:spacing w:after="0" w:line="240" w:lineRule="auto"/>
        <w:jc w:val="right"/>
        <w:rPr>
          <w:i/>
          <w:sz w:val="16"/>
          <w:szCs w:val="16"/>
        </w:rPr>
      </w:pPr>
      <w:r w:rsidRPr="0063036D">
        <w:rPr>
          <w:i/>
          <w:sz w:val="16"/>
          <w:szCs w:val="16"/>
        </w:rPr>
        <w:t xml:space="preserve">Informāciju sagatavoja: </w:t>
      </w:r>
    </w:p>
    <w:p w14:paraId="3DD97D59" w14:textId="0FE0FC7A" w:rsidR="00E21F46" w:rsidRPr="0063036D" w:rsidRDefault="00E21F46" w:rsidP="00057CFE">
      <w:pPr>
        <w:spacing w:after="0" w:line="240" w:lineRule="auto"/>
        <w:jc w:val="right"/>
        <w:rPr>
          <w:i/>
          <w:sz w:val="16"/>
          <w:szCs w:val="16"/>
        </w:rPr>
      </w:pPr>
      <w:r w:rsidRPr="0063036D">
        <w:rPr>
          <w:i/>
          <w:sz w:val="16"/>
          <w:szCs w:val="16"/>
        </w:rPr>
        <w:t>LTAB sabiedrisko attiecību konsultants</w:t>
      </w:r>
      <w:r w:rsidR="0063036D">
        <w:rPr>
          <w:i/>
          <w:sz w:val="16"/>
          <w:szCs w:val="16"/>
        </w:rPr>
        <w:t xml:space="preserve"> </w:t>
      </w:r>
      <w:r w:rsidRPr="0063036D">
        <w:rPr>
          <w:i/>
          <w:sz w:val="16"/>
          <w:szCs w:val="16"/>
        </w:rPr>
        <w:t>Gints Lazdiņš</w:t>
      </w:r>
    </w:p>
    <w:p w14:paraId="5BAA9B0B" w14:textId="77777777" w:rsidR="00E21F46" w:rsidRPr="0063036D" w:rsidRDefault="00E21F46" w:rsidP="00057CFE">
      <w:pPr>
        <w:spacing w:after="0" w:line="240" w:lineRule="auto"/>
        <w:jc w:val="right"/>
        <w:rPr>
          <w:i/>
          <w:sz w:val="16"/>
          <w:szCs w:val="16"/>
        </w:rPr>
      </w:pPr>
      <w:proofErr w:type="spellStart"/>
      <w:r w:rsidRPr="0063036D">
        <w:rPr>
          <w:i/>
          <w:sz w:val="16"/>
          <w:szCs w:val="16"/>
        </w:rPr>
        <w:t>Tālr</w:t>
      </w:r>
      <w:proofErr w:type="spellEnd"/>
      <w:r w:rsidRPr="0063036D">
        <w:rPr>
          <w:i/>
          <w:sz w:val="16"/>
          <w:szCs w:val="16"/>
        </w:rPr>
        <w:t xml:space="preserve">: +371 29442282 </w:t>
      </w:r>
    </w:p>
    <w:p w14:paraId="09E46E88" w14:textId="7DCA2468" w:rsidR="00617E51" w:rsidRPr="0063036D" w:rsidRDefault="00E21F46" w:rsidP="004827D3">
      <w:pPr>
        <w:spacing w:after="0" w:line="240" w:lineRule="auto"/>
        <w:jc w:val="right"/>
        <w:rPr>
          <w:sz w:val="16"/>
          <w:szCs w:val="16"/>
        </w:rPr>
      </w:pPr>
      <w:r w:rsidRPr="0063036D">
        <w:rPr>
          <w:i/>
          <w:sz w:val="16"/>
          <w:szCs w:val="16"/>
        </w:rPr>
        <w:t>E-pasts: gints@olsen.lv</w:t>
      </w:r>
      <w:bookmarkEnd w:id="0"/>
    </w:p>
    <w:sectPr w:rsidR="00617E51" w:rsidRPr="0063036D" w:rsidSect="00FA628A">
      <w:headerReference w:type="default" r:id="rId7"/>
      <w:footerReference w:type="default" r:id="rId8"/>
      <w:pgSz w:w="11906" w:h="16838"/>
      <w:pgMar w:top="1178" w:right="1558" w:bottom="993" w:left="1560" w:header="284" w:footer="31"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0F3540" w16cid:durableId="1E9C15FD"/>
  <w16cid:commentId w16cid:paraId="73BD80E9" w16cid:durableId="1E9C11E1"/>
  <w16cid:commentId w16cid:paraId="0DA033ED" w16cid:durableId="1E9C15FF"/>
  <w16cid:commentId w16cid:paraId="3E662368" w16cid:durableId="1E9C20B1"/>
  <w16cid:commentId w16cid:paraId="103203DC" w16cid:durableId="1E9C11E2"/>
  <w16cid:commentId w16cid:paraId="46EBF79C" w16cid:durableId="1E9C1307"/>
  <w16cid:commentId w16cid:paraId="65F298C1" w16cid:durableId="1E9C20B4"/>
  <w16cid:commentId w16cid:paraId="0CBB4C8C" w16cid:durableId="1E9C11E3"/>
  <w16cid:commentId w16cid:paraId="74E98DE8" w16cid:durableId="1E9C1603"/>
  <w16cid:commentId w16cid:paraId="1617BD5F" w16cid:durableId="1E9C13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3D019" w14:textId="77777777" w:rsidR="00D420F6" w:rsidRDefault="00D420F6" w:rsidP="00C62AF7">
      <w:pPr>
        <w:spacing w:after="0" w:line="240" w:lineRule="auto"/>
      </w:pPr>
      <w:r>
        <w:separator/>
      </w:r>
    </w:p>
  </w:endnote>
  <w:endnote w:type="continuationSeparator" w:id="0">
    <w:p w14:paraId="305C5F5A" w14:textId="77777777" w:rsidR="00D420F6" w:rsidRDefault="00D420F6"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20.25pt">
          <v:imagedata r:id="rId1" o:title=""/>
        </v:shape>
        <o:OLEObject Type="Embed" ProgID="CorelDraw.Graphic.17" ShapeID="_x0000_i1026" DrawAspect="Content" ObjectID="_1587385449"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6F1DB" w14:textId="77777777" w:rsidR="00D420F6" w:rsidRDefault="00D420F6" w:rsidP="00C62AF7">
      <w:pPr>
        <w:spacing w:after="0" w:line="240" w:lineRule="auto"/>
      </w:pPr>
      <w:r>
        <w:separator/>
      </w:r>
    </w:p>
  </w:footnote>
  <w:footnote w:type="continuationSeparator" w:id="0">
    <w:p w14:paraId="12A4C070" w14:textId="77777777" w:rsidR="00D420F6" w:rsidRDefault="00D420F6"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4pt">
          <v:imagedata r:id="rId1" o:title=""/>
        </v:shape>
        <o:OLEObject Type="Embed" ProgID="CorelDraw.Graphic.17" ShapeID="_x0000_i1025" DrawAspect="Content" ObjectID="_1587385448"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862BA"/>
    <w:rsid w:val="00090F83"/>
    <w:rsid w:val="00092E79"/>
    <w:rsid w:val="00094687"/>
    <w:rsid w:val="00095CC7"/>
    <w:rsid w:val="000A4262"/>
    <w:rsid w:val="000B1DBA"/>
    <w:rsid w:val="000F17FE"/>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C65E0"/>
    <w:rsid w:val="001C7562"/>
    <w:rsid w:val="001D3B28"/>
    <w:rsid w:val="001D6AEF"/>
    <w:rsid w:val="001D7F39"/>
    <w:rsid w:val="001E57C6"/>
    <w:rsid w:val="001E71BD"/>
    <w:rsid w:val="001F1824"/>
    <w:rsid w:val="001F3B92"/>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5F23"/>
    <w:rsid w:val="002F353B"/>
    <w:rsid w:val="00301F2A"/>
    <w:rsid w:val="00305D0A"/>
    <w:rsid w:val="003215C1"/>
    <w:rsid w:val="003425AA"/>
    <w:rsid w:val="003427E6"/>
    <w:rsid w:val="00362517"/>
    <w:rsid w:val="00382C5D"/>
    <w:rsid w:val="003A7239"/>
    <w:rsid w:val="003B1D0E"/>
    <w:rsid w:val="003B1E7D"/>
    <w:rsid w:val="003B5F8E"/>
    <w:rsid w:val="003B79AF"/>
    <w:rsid w:val="003D14B9"/>
    <w:rsid w:val="003D3FA2"/>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10E1"/>
    <w:rsid w:val="004827D3"/>
    <w:rsid w:val="004A2480"/>
    <w:rsid w:val="004B4838"/>
    <w:rsid w:val="004C32E0"/>
    <w:rsid w:val="004D2161"/>
    <w:rsid w:val="004D3D2B"/>
    <w:rsid w:val="004E6257"/>
    <w:rsid w:val="004F54D5"/>
    <w:rsid w:val="00506CDA"/>
    <w:rsid w:val="00516211"/>
    <w:rsid w:val="00520799"/>
    <w:rsid w:val="0053653F"/>
    <w:rsid w:val="00537A74"/>
    <w:rsid w:val="00577DF2"/>
    <w:rsid w:val="00590ADB"/>
    <w:rsid w:val="005A4EDB"/>
    <w:rsid w:val="005B0F55"/>
    <w:rsid w:val="005B15E8"/>
    <w:rsid w:val="005B5E63"/>
    <w:rsid w:val="005C0769"/>
    <w:rsid w:val="005D5FB2"/>
    <w:rsid w:val="005E1FE3"/>
    <w:rsid w:val="005E69F5"/>
    <w:rsid w:val="00617E51"/>
    <w:rsid w:val="0063036D"/>
    <w:rsid w:val="006416BA"/>
    <w:rsid w:val="00660902"/>
    <w:rsid w:val="006610B2"/>
    <w:rsid w:val="006A55FE"/>
    <w:rsid w:val="006A6493"/>
    <w:rsid w:val="006B768B"/>
    <w:rsid w:val="006C4F73"/>
    <w:rsid w:val="006E02BB"/>
    <w:rsid w:val="006E217C"/>
    <w:rsid w:val="006E75CA"/>
    <w:rsid w:val="00713F2D"/>
    <w:rsid w:val="00717211"/>
    <w:rsid w:val="00721F1C"/>
    <w:rsid w:val="00742A6B"/>
    <w:rsid w:val="00765A4A"/>
    <w:rsid w:val="00780200"/>
    <w:rsid w:val="00784272"/>
    <w:rsid w:val="00795304"/>
    <w:rsid w:val="007B3B6B"/>
    <w:rsid w:val="007B675F"/>
    <w:rsid w:val="007C3730"/>
    <w:rsid w:val="007E77E8"/>
    <w:rsid w:val="008278BE"/>
    <w:rsid w:val="00850CCE"/>
    <w:rsid w:val="00867D74"/>
    <w:rsid w:val="00881B76"/>
    <w:rsid w:val="008A65AA"/>
    <w:rsid w:val="008D1434"/>
    <w:rsid w:val="008D7575"/>
    <w:rsid w:val="008E7F5E"/>
    <w:rsid w:val="009124FD"/>
    <w:rsid w:val="00935173"/>
    <w:rsid w:val="00936462"/>
    <w:rsid w:val="00941CB7"/>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F7E"/>
    <w:rsid w:val="00AE1616"/>
    <w:rsid w:val="00AE3928"/>
    <w:rsid w:val="00B07697"/>
    <w:rsid w:val="00B100D8"/>
    <w:rsid w:val="00B11197"/>
    <w:rsid w:val="00B3136B"/>
    <w:rsid w:val="00B31BA0"/>
    <w:rsid w:val="00B50CBA"/>
    <w:rsid w:val="00B5195D"/>
    <w:rsid w:val="00B57A8D"/>
    <w:rsid w:val="00BB784E"/>
    <w:rsid w:val="00BC18E6"/>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80E9A"/>
    <w:rsid w:val="00C91CFB"/>
    <w:rsid w:val="00C93AB0"/>
    <w:rsid w:val="00CC1D83"/>
    <w:rsid w:val="00D01223"/>
    <w:rsid w:val="00D01457"/>
    <w:rsid w:val="00D05616"/>
    <w:rsid w:val="00D05A63"/>
    <w:rsid w:val="00D34E4A"/>
    <w:rsid w:val="00D356F9"/>
    <w:rsid w:val="00D420F6"/>
    <w:rsid w:val="00D64814"/>
    <w:rsid w:val="00D8058A"/>
    <w:rsid w:val="00DB74AC"/>
    <w:rsid w:val="00DC132A"/>
    <w:rsid w:val="00DD7C40"/>
    <w:rsid w:val="00E10460"/>
    <w:rsid w:val="00E21F46"/>
    <w:rsid w:val="00E23A71"/>
    <w:rsid w:val="00E32C33"/>
    <w:rsid w:val="00E3307D"/>
    <w:rsid w:val="00E5024C"/>
    <w:rsid w:val="00E537C3"/>
    <w:rsid w:val="00E542EC"/>
    <w:rsid w:val="00E5474A"/>
    <w:rsid w:val="00E61937"/>
    <w:rsid w:val="00E6367A"/>
    <w:rsid w:val="00E730A3"/>
    <w:rsid w:val="00E8391D"/>
    <w:rsid w:val="00E9038F"/>
    <w:rsid w:val="00E914E5"/>
    <w:rsid w:val="00E91AD3"/>
    <w:rsid w:val="00EA42C0"/>
    <w:rsid w:val="00EC201D"/>
    <w:rsid w:val="00EC3E3F"/>
    <w:rsid w:val="00EC50B3"/>
    <w:rsid w:val="00EF1BCF"/>
    <w:rsid w:val="00EF4E85"/>
    <w:rsid w:val="00F0210F"/>
    <w:rsid w:val="00F06838"/>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7143D-FECC-4633-81B0-FBCA28D2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2018-05-09T12:38:00Z</dcterms:created>
  <dcterms:modified xsi:type="dcterms:W3CDTF">2018-05-09T12:38:00Z</dcterms:modified>
</cp:coreProperties>
</file>