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6D6FA0" w14:textId="669A4C86" w:rsidR="00E21F46" w:rsidRPr="00AD2581" w:rsidRDefault="00AD2581" w:rsidP="00E21F46">
      <w:pPr>
        <w:spacing w:after="0" w:line="240" w:lineRule="auto"/>
        <w:jc w:val="right"/>
        <w:rPr>
          <w:sz w:val="20"/>
          <w:szCs w:val="20"/>
          <w:lang w:val="ru-RU"/>
        </w:rPr>
      </w:pPr>
      <w:bookmarkStart w:id="0" w:name="_Hlk504469613"/>
      <w:r>
        <w:rPr>
          <w:sz w:val="20"/>
          <w:szCs w:val="20"/>
          <w:lang w:val="ru-RU"/>
        </w:rPr>
        <w:t>Информация для представителей СМИ</w:t>
      </w:r>
    </w:p>
    <w:p w14:paraId="755FEFD0" w14:textId="103BC025" w:rsidR="00E21F46" w:rsidRDefault="009571FC" w:rsidP="00E21F46">
      <w:pPr>
        <w:spacing w:after="0" w:line="240" w:lineRule="auto"/>
        <w:jc w:val="right"/>
        <w:rPr>
          <w:sz w:val="20"/>
          <w:szCs w:val="20"/>
        </w:rPr>
      </w:pPr>
      <w:r>
        <w:rPr>
          <w:sz w:val="20"/>
          <w:szCs w:val="20"/>
        </w:rPr>
        <w:t>09.05</w:t>
      </w:r>
      <w:r w:rsidR="00162149" w:rsidRPr="0063036D">
        <w:rPr>
          <w:sz w:val="20"/>
          <w:szCs w:val="20"/>
        </w:rPr>
        <w:t>.201</w:t>
      </w:r>
      <w:r w:rsidR="00080743" w:rsidRPr="0063036D">
        <w:rPr>
          <w:sz w:val="20"/>
          <w:szCs w:val="20"/>
        </w:rPr>
        <w:t>8.</w:t>
      </w:r>
    </w:p>
    <w:p w14:paraId="28155D3C" w14:textId="77777777" w:rsidR="00F4643E" w:rsidRPr="0063036D" w:rsidRDefault="00F4643E" w:rsidP="00E21F46">
      <w:pPr>
        <w:spacing w:after="0" w:line="240" w:lineRule="auto"/>
        <w:jc w:val="right"/>
        <w:rPr>
          <w:sz w:val="20"/>
          <w:szCs w:val="20"/>
        </w:rPr>
      </w:pPr>
    </w:p>
    <w:p w14:paraId="0C6F7FA6" w14:textId="37FCA69B" w:rsidR="00AD2581" w:rsidRPr="00AD2581" w:rsidRDefault="00AD2581" w:rsidP="00F43CA6">
      <w:pPr>
        <w:spacing w:after="0" w:line="240" w:lineRule="auto"/>
        <w:jc w:val="both"/>
        <w:rPr>
          <w:b/>
          <w:bCs/>
          <w:sz w:val="28"/>
          <w:szCs w:val="28"/>
          <w:lang w:val="ru-RU"/>
        </w:rPr>
      </w:pPr>
      <w:r>
        <w:rPr>
          <w:b/>
          <w:bCs/>
          <w:sz w:val="28"/>
          <w:szCs w:val="28"/>
          <w:lang w:val="ru-RU"/>
        </w:rPr>
        <w:t>Первую четверть этого года отрасль ОСТА завершает с небольшими убытками</w:t>
      </w:r>
    </w:p>
    <w:p w14:paraId="5077CCC1" w14:textId="77777777" w:rsidR="00C7196C" w:rsidRDefault="00C7196C" w:rsidP="00F43CA6">
      <w:pPr>
        <w:spacing w:after="0" w:line="240" w:lineRule="auto"/>
        <w:jc w:val="both"/>
        <w:rPr>
          <w:b/>
        </w:rPr>
      </w:pPr>
    </w:p>
    <w:p w14:paraId="63042B78" w14:textId="1EDF31EF" w:rsidR="00AD2581" w:rsidRPr="00AD2581" w:rsidRDefault="00AD2581" w:rsidP="00F43CA6">
      <w:pPr>
        <w:spacing w:after="0" w:line="240" w:lineRule="auto"/>
        <w:jc w:val="both"/>
        <w:rPr>
          <w:b/>
          <w:sz w:val="24"/>
          <w:szCs w:val="24"/>
          <w:lang w:val="ru-RU"/>
        </w:rPr>
      </w:pPr>
      <w:bookmarkStart w:id="1" w:name="_GoBack"/>
      <w:r>
        <w:rPr>
          <w:b/>
          <w:sz w:val="24"/>
          <w:szCs w:val="24"/>
          <w:lang w:val="ru-RU"/>
        </w:rPr>
        <w:t xml:space="preserve">Обобщенные данные </w:t>
      </w:r>
      <w:r w:rsidRPr="00AD2581">
        <w:rPr>
          <w:b/>
          <w:sz w:val="24"/>
          <w:szCs w:val="24"/>
        </w:rPr>
        <w:t>Латвийско</w:t>
      </w:r>
      <w:r>
        <w:rPr>
          <w:b/>
          <w:sz w:val="24"/>
          <w:szCs w:val="24"/>
          <w:lang w:val="ru-RU"/>
        </w:rPr>
        <w:t>го</w:t>
      </w:r>
      <w:r w:rsidRPr="00AD2581">
        <w:rPr>
          <w:b/>
          <w:sz w:val="24"/>
          <w:szCs w:val="24"/>
        </w:rPr>
        <w:t xml:space="preserve"> </w:t>
      </w:r>
      <w:r>
        <w:rPr>
          <w:b/>
          <w:sz w:val="24"/>
          <w:szCs w:val="24"/>
          <w:lang w:val="ru-RU"/>
        </w:rPr>
        <w:t xml:space="preserve">бюро страховщиков транспортных средств (далее </w:t>
      </w:r>
      <w:r w:rsidRPr="00FA628A">
        <w:rPr>
          <w:b/>
          <w:sz w:val="24"/>
          <w:szCs w:val="24"/>
        </w:rPr>
        <w:t>– LTAB)</w:t>
      </w:r>
      <w:r>
        <w:rPr>
          <w:b/>
          <w:sz w:val="24"/>
          <w:szCs w:val="24"/>
          <w:lang w:val="ru-RU"/>
        </w:rPr>
        <w:t xml:space="preserve"> свидетельствуют, что в первые 3 месяца этого года отрасль ОСТА работала с убытками в размере 120 тысяч евро. Несмотря на существенн</w:t>
      </w:r>
      <w:r w:rsidR="00AE6182">
        <w:rPr>
          <w:b/>
          <w:sz w:val="24"/>
          <w:szCs w:val="24"/>
          <w:lang w:val="ru-RU"/>
        </w:rPr>
        <w:t>ое</w:t>
      </w:r>
      <w:r>
        <w:rPr>
          <w:b/>
          <w:sz w:val="24"/>
          <w:szCs w:val="24"/>
          <w:lang w:val="ru-RU"/>
        </w:rPr>
        <w:t xml:space="preserve"> </w:t>
      </w:r>
      <w:r w:rsidR="00AE6182">
        <w:rPr>
          <w:b/>
          <w:sz w:val="24"/>
          <w:szCs w:val="24"/>
          <w:lang w:val="ru-RU"/>
        </w:rPr>
        <w:t>увеличение объема</w:t>
      </w:r>
      <w:r>
        <w:rPr>
          <w:b/>
          <w:sz w:val="24"/>
          <w:szCs w:val="24"/>
          <w:lang w:val="ru-RU"/>
        </w:rPr>
        <w:t xml:space="preserve"> компенсаций в отрасли, рост инфляции и другие факторы, это наименьший объем убытков первой четверти за последние годы.</w:t>
      </w:r>
    </w:p>
    <w:bookmarkEnd w:id="1"/>
    <w:p w14:paraId="70F64C5B" w14:textId="77777777" w:rsidR="00AD2581" w:rsidRDefault="00AD2581" w:rsidP="00F43CA6">
      <w:pPr>
        <w:spacing w:after="0" w:line="240" w:lineRule="auto"/>
        <w:jc w:val="both"/>
        <w:rPr>
          <w:b/>
          <w:sz w:val="24"/>
          <w:szCs w:val="24"/>
        </w:rPr>
      </w:pPr>
    </w:p>
    <w:p w14:paraId="38652566" w14:textId="4FE6AE2A" w:rsidR="00F0210F" w:rsidRPr="00AD2581" w:rsidRDefault="00AD2581" w:rsidP="00F43CA6">
      <w:pPr>
        <w:spacing w:after="0" w:line="240" w:lineRule="auto"/>
        <w:jc w:val="both"/>
        <w:rPr>
          <w:sz w:val="24"/>
          <w:szCs w:val="24"/>
          <w:lang w:val="ru-RU"/>
        </w:rPr>
      </w:pPr>
      <w:r w:rsidRPr="00AD2581">
        <w:rPr>
          <w:sz w:val="24"/>
          <w:szCs w:val="24"/>
          <w:lang w:val="ru-RU"/>
        </w:rPr>
        <w:t xml:space="preserve">«Объем убытков </w:t>
      </w:r>
      <w:r>
        <w:rPr>
          <w:sz w:val="24"/>
          <w:szCs w:val="24"/>
          <w:lang w:val="ru-RU"/>
        </w:rPr>
        <w:t xml:space="preserve">в первой четверти этого года является исторически наименьшим с 2009 года, когда отрасль ОСТА в последний раз работала без убытков. В большей мере это произошло благодаря увеличению страховых премий, позволяющих покрыть не только выплаты увеличившихся компенсаций, но и рост цен, вызванных инфляцией, который наблюдается почти во всех отраслях экономики», - поясняет председатель правления </w:t>
      </w:r>
      <w:r w:rsidRPr="00FA628A">
        <w:rPr>
          <w:sz w:val="24"/>
          <w:szCs w:val="24"/>
        </w:rPr>
        <w:t>LTAB</w:t>
      </w:r>
      <w:r>
        <w:rPr>
          <w:sz w:val="24"/>
          <w:szCs w:val="24"/>
          <w:lang w:val="ru-RU"/>
        </w:rPr>
        <w:t xml:space="preserve"> Янис Абашин. </w:t>
      </w:r>
    </w:p>
    <w:p w14:paraId="0540C806" w14:textId="77777777" w:rsidR="00AD2581" w:rsidRDefault="00AD2581" w:rsidP="00F43CA6">
      <w:pPr>
        <w:spacing w:after="0" w:line="240" w:lineRule="auto"/>
        <w:jc w:val="both"/>
      </w:pPr>
    </w:p>
    <w:p w14:paraId="4A4EC0EA" w14:textId="0B2A0B95" w:rsidR="00A2128B" w:rsidRPr="00AD2581" w:rsidRDefault="00AD2581" w:rsidP="00A2128B">
      <w:pPr>
        <w:spacing w:after="0" w:line="240" w:lineRule="auto"/>
        <w:jc w:val="both"/>
        <w:rPr>
          <w:sz w:val="24"/>
          <w:szCs w:val="24"/>
          <w:lang w:val="ru-RU"/>
        </w:rPr>
      </w:pPr>
      <w:r>
        <w:rPr>
          <w:sz w:val="24"/>
          <w:szCs w:val="24"/>
          <w:lang w:val="ru-RU"/>
        </w:rPr>
        <w:t>Хотя, по сравнению с первыми тремя месяцами прошлого года</w:t>
      </w:r>
      <w:r w:rsidR="00AE6182">
        <w:rPr>
          <w:sz w:val="24"/>
          <w:szCs w:val="24"/>
          <w:lang w:val="ru-RU"/>
        </w:rPr>
        <w:t>,</w:t>
      </w:r>
      <w:r w:rsidRPr="00AD2581">
        <w:rPr>
          <w:sz w:val="24"/>
          <w:szCs w:val="24"/>
          <w:lang w:val="ru-RU"/>
        </w:rPr>
        <w:t xml:space="preserve"> </w:t>
      </w:r>
      <w:r w:rsidR="00AE6182">
        <w:rPr>
          <w:sz w:val="24"/>
          <w:szCs w:val="24"/>
          <w:lang w:val="ru-RU"/>
        </w:rPr>
        <w:t xml:space="preserve">количество поданных о произошедших ДТП заявлений уменьшилось на 10%, общая сумма компенсаций увеличилась более чем на 10%, в свою очередь объем средней компенсации вырос с 762 евро в первой четверти прошлого года до 830 евро в этом году.  </w:t>
      </w:r>
    </w:p>
    <w:p w14:paraId="24C16F1A" w14:textId="77777777" w:rsidR="00AD2581" w:rsidRDefault="00AD2581" w:rsidP="00A2128B">
      <w:pPr>
        <w:spacing w:after="0" w:line="240" w:lineRule="auto"/>
        <w:jc w:val="both"/>
        <w:rPr>
          <w:sz w:val="24"/>
          <w:szCs w:val="24"/>
        </w:rPr>
      </w:pPr>
    </w:p>
    <w:p w14:paraId="1514FCC6" w14:textId="714A7973" w:rsidR="00E5024C" w:rsidRPr="00AE6182" w:rsidRDefault="00AE6182" w:rsidP="00F43CA6">
      <w:pPr>
        <w:spacing w:after="0" w:line="240" w:lineRule="auto"/>
        <w:jc w:val="both"/>
        <w:rPr>
          <w:sz w:val="24"/>
          <w:szCs w:val="24"/>
          <w:lang w:val="ru-RU"/>
        </w:rPr>
      </w:pPr>
      <w:r>
        <w:rPr>
          <w:sz w:val="24"/>
          <w:szCs w:val="24"/>
          <w:lang w:val="ru-RU"/>
        </w:rPr>
        <w:t>«Мы видим</w:t>
      </w:r>
      <w:r w:rsidRPr="00AE6182">
        <w:rPr>
          <w:sz w:val="24"/>
          <w:szCs w:val="24"/>
          <w:lang w:val="ru-RU"/>
        </w:rPr>
        <w:t xml:space="preserve"> </w:t>
      </w:r>
      <w:r>
        <w:rPr>
          <w:sz w:val="24"/>
          <w:szCs w:val="24"/>
          <w:lang w:val="ru-RU"/>
        </w:rPr>
        <w:t xml:space="preserve">также, что уменьшаются технические издержки работы страховщиков, что свидетельствует о том, что отрасль ОСТА становится эффективнее. Если мы не столкнемся стремительным ростом инфляции или другими непредвиденными рисками, есть основание надеяться, что объем убытков в этом году существенно не увеличится», - прогнозирует Я. Абашин. </w:t>
      </w:r>
    </w:p>
    <w:p w14:paraId="2D9EB342" w14:textId="77777777" w:rsidR="00AE6182" w:rsidRPr="00FA628A" w:rsidRDefault="00AE6182" w:rsidP="00F43CA6">
      <w:pPr>
        <w:spacing w:after="0" w:line="240" w:lineRule="auto"/>
        <w:jc w:val="both"/>
        <w:rPr>
          <w:sz w:val="24"/>
          <w:szCs w:val="24"/>
        </w:rPr>
      </w:pPr>
    </w:p>
    <w:bookmarkEnd w:id="0"/>
    <w:p w14:paraId="6ED0BB6A" w14:textId="77777777" w:rsidR="00AE6182" w:rsidRDefault="00AE6182" w:rsidP="00AE6182">
      <w:pPr>
        <w:spacing w:after="0" w:line="240" w:lineRule="auto"/>
        <w:jc w:val="both"/>
      </w:pPr>
      <w:r>
        <w:t>В 1997 году в Латвии была введена система ОСТА, цель которой обеспечить защиту интересов третьих лиц, пострадавших в дорожном движении как в Латвии, так в странах-участницах Зеленой карты. Для обеспечения успешной деятельности системы было создано Латвийское Бюро страховщиков Транспортных средств (LTAB), которое объединяет страховые общества, обладающие правом производить страхование ОСТА в Латвии – AAS “Balta”, AAS “Baltijas Apdrošināšanas Nams”, AAS “BTA Baltic Insurance Company”, латвийский филиал ADB “Compensa Vienna Insurance Group”, латвийский филиал SE “ERGO Insurance”, латвийский филиал ADB “Gjensidige”, латвийский филиал AS “If P&amp;C Insurance”, латвийский филиал AS “Seesam Insurance” и латвийский филиал AS “Swedbank P&amp;C Insurance”.</w:t>
      </w:r>
    </w:p>
    <w:p w14:paraId="58B2BBE8" w14:textId="77777777" w:rsidR="00AE6182" w:rsidRDefault="00AE6182" w:rsidP="00AE6182">
      <w:pPr>
        <w:spacing w:after="0" w:line="240" w:lineRule="auto"/>
        <w:jc w:val="both"/>
      </w:pPr>
    </w:p>
    <w:p w14:paraId="5BDF8A6C" w14:textId="77777777" w:rsidR="00AE6182" w:rsidRDefault="00AE6182" w:rsidP="00AE6182">
      <w:pPr>
        <w:spacing w:after="0" w:line="240" w:lineRule="auto"/>
        <w:jc w:val="right"/>
        <w:rPr>
          <w:i/>
          <w:iCs/>
        </w:rPr>
      </w:pPr>
      <w:r>
        <w:rPr>
          <w:i/>
          <w:iCs/>
        </w:rPr>
        <w:t>Информацию подготовил:</w:t>
      </w:r>
    </w:p>
    <w:p w14:paraId="29CE3497" w14:textId="77777777" w:rsidR="00AE6182" w:rsidRDefault="00AE6182" w:rsidP="00AE6182">
      <w:pPr>
        <w:spacing w:after="0" w:line="240" w:lineRule="auto"/>
        <w:jc w:val="right"/>
        <w:rPr>
          <w:i/>
          <w:iCs/>
        </w:rPr>
      </w:pPr>
      <w:r>
        <w:rPr>
          <w:i/>
          <w:iCs/>
        </w:rPr>
        <w:t xml:space="preserve">Консультант по связям с общественностью LTAB </w:t>
      </w:r>
    </w:p>
    <w:p w14:paraId="66C45926" w14:textId="77777777" w:rsidR="00AE6182" w:rsidRDefault="00AE6182" w:rsidP="00AE6182">
      <w:pPr>
        <w:spacing w:after="0" w:line="240" w:lineRule="auto"/>
        <w:jc w:val="right"/>
        <w:rPr>
          <w:i/>
          <w:iCs/>
        </w:rPr>
      </w:pPr>
      <w:r>
        <w:rPr>
          <w:i/>
          <w:iCs/>
        </w:rPr>
        <w:t>Гинтс Лаздиньш</w:t>
      </w:r>
    </w:p>
    <w:p w14:paraId="159CEDE9" w14:textId="77777777" w:rsidR="00AE6182" w:rsidRDefault="00AE6182" w:rsidP="00AE6182">
      <w:pPr>
        <w:spacing w:after="0" w:line="240" w:lineRule="auto"/>
        <w:jc w:val="right"/>
        <w:rPr>
          <w:i/>
          <w:iCs/>
        </w:rPr>
      </w:pPr>
      <w:r>
        <w:rPr>
          <w:i/>
          <w:iCs/>
        </w:rPr>
        <w:t xml:space="preserve">Тел: +371 29442282 </w:t>
      </w:r>
    </w:p>
    <w:p w14:paraId="405FB4B9" w14:textId="77777777" w:rsidR="00AE6182" w:rsidRDefault="00AE6182" w:rsidP="00AE6182">
      <w:pPr>
        <w:spacing w:after="0" w:line="240" w:lineRule="auto"/>
        <w:jc w:val="right"/>
        <w:rPr>
          <w:i/>
          <w:iCs/>
        </w:rPr>
      </w:pPr>
      <w:r>
        <w:rPr>
          <w:i/>
          <w:iCs/>
        </w:rPr>
        <w:t xml:space="preserve">Э-почта: </w:t>
      </w:r>
      <w:hyperlink r:id="rId7" w:history="1">
        <w:r>
          <w:rPr>
            <w:rStyle w:val="Hyperlink"/>
            <w:i/>
            <w:iCs/>
          </w:rPr>
          <w:t>gints@olsen.lv</w:t>
        </w:r>
      </w:hyperlink>
    </w:p>
    <w:p w14:paraId="32A4F613" w14:textId="77777777" w:rsidR="00AE6182" w:rsidRDefault="00AE6182" w:rsidP="00AE6182">
      <w:pPr>
        <w:spacing w:after="0" w:line="240" w:lineRule="auto"/>
        <w:jc w:val="both"/>
      </w:pPr>
    </w:p>
    <w:p w14:paraId="09E46E88" w14:textId="5F324094" w:rsidR="00617E51" w:rsidRPr="00AE6182" w:rsidRDefault="00617E51" w:rsidP="004827D3">
      <w:pPr>
        <w:spacing w:after="0" w:line="240" w:lineRule="auto"/>
        <w:jc w:val="right"/>
        <w:rPr>
          <w:sz w:val="16"/>
          <w:szCs w:val="16"/>
        </w:rPr>
      </w:pPr>
    </w:p>
    <w:sectPr w:rsidR="00617E51" w:rsidRPr="00AE6182" w:rsidSect="00FA628A">
      <w:headerReference w:type="default" r:id="rId8"/>
      <w:footerReference w:type="default" r:id="rId9"/>
      <w:pgSz w:w="11906" w:h="16838"/>
      <w:pgMar w:top="1178" w:right="1558" w:bottom="993" w:left="1560" w:header="284" w:footer="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5BB340" w14:textId="77777777" w:rsidR="009E0003" w:rsidRDefault="009E0003" w:rsidP="00C62AF7">
      <w:pPr>
        <w:spacing w:after="0" w:line="240" w:lineRule="auto"/>
      </w:pPr>
      <w:r>
        <w:separator/>
      </w:r>
    </w:p>
  </w:endnote>
  <w:endnote w:type="continuationSeparator" w:id="0">
    <w:p w14:paraId="5BE4F5E4" w14:textId="77777777" w:rsidR="009E0003" w:rsidRDefault="009E0003"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DC919" w14:textId="77777777" w:rsidR="00E9038F" w:rsidRDefault="00E9038F" w:rsidP="00C62AF7">
    <w:pPr>
      <w:pStyle w:val="Footer"/>
      <w:jc w:val="center"/>
    </w:pPr>
    <w:r>
      <w:rPr>
        <w:noProof/>
        <w:lang w:eastAsia="lv-LV"/>
      </w:rPr>
      <mc:AlternateContent>
        <mc:Choice Requires="wps">
          <w:drawing>
            <wp:anchor distT="0" distB="0" distL="114300" distR="114300" simplePos="0" relativeHeight="251659264" behindDoc="0" locked="0" layoutInCell="1" allowOverlap="1" wp14:anchorId="5B19E8FD" wp14:editId="0C0C2681">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F42338"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770868B8" w14:textId="77777777" w:rsidR="00E9038F" w:rsidRDefault="00E9038F" w:rsidP="00C62AF7">
    <w:pPr>
      <w:pStyle w:val="Footer"/>
      <w:jc w:val="center"/>
    </w:pPr>
    <w:r>
      <w:object w:dxaOrig="9042" w:dyaOrig="462" w14:anchorId="492DC8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75pt;height:20.25pt">
          <v:imagedata r:id="rId1" o:title=""/>
        </v:shape>
        <o:OLEObject Type="Embed" ProgID="CorelDraw.Graphic.17" ShapeID="_x0000_i1026" DrawAspect="Content" ObjectID="_1587385498" r:id="rId2"/>
      </w:object>
    </w:r>
  </w:p>
  <w:p w14:paraId="18A6543B" w14:textId="77777777" w:rsidR="00E9038F" w:rsidRDefault="00E903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90E70" w14:textId="77777777" w:rsidR="009E0003" w:rsidRDefault="009E0003" w:rsidP="00C62AF7">
      <w:pPr>
        <w:spacing w:after="0" w:line="240" w:lineRule="auto"/>
      </w:pPr>
      <w:r>
        <w:separator/>
      </w:r>
    </w:p>
  </w:footnote>
  <w:footnote w:type="continuationSeparator" w:id="0">
    <w:p w14:paraId="3AECCD20" w14:textId="77777777" w:rsidR="009E0003" w:rsidRDefault="009E0003"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85C2B" w14:textId="77777777" w:rsidR="00E9038F" w:rsidRDefault="00E9038F">
    <w:pPr>
      <w:pStyle w:val="Header"/>
    </w:pPr>
    <w:r>
      <w:object w:dxaOrig="3027" w:dyaOrig="1080" w14:anchorId="3751E0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2.25pt;height:54pt">
          <v:imagedata r:id="rId1" o:title=""/>
        </v:shape>
        <o:OLEObject Type="Embed" ProgID="CorelDraw.Graphic.17" ShapeID="_x0000_i1025" DrawAspect="Content" ObjectID="_1587385497" r:id="rId2"/>
      </w:object>
    </w:r>
  </w:p>
  <w:p w14:paraId="55C4C625" w14:textId="77777777" w:rsidR="00E9038F" w:rsidRDefault="00E903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100FF"/>
    <w:rsid w:val="00013C1F"/>
    <w:rsid w:val="000146EA"/>
    <w:rsid w:val="000211BE"/>
    <w:rsid w:val="00040165"/>
    <w:rsid w:val="000533E0"/>
    <w:rsid w:val="00057CFE"/>
    <w:rsid w:val="00080743"/>
    <w:rsid w:val="000862BA"/>
    <w:rsid w:val="00090910"/>
    <w:rsid w:val="00090F83"/>
    <w:rsid w:val="00092E79"/>
    <w:rsid w:val="00094687"/>
    <w:rsid w:val="00095CC7"/>
    <w:rsid w:val="000A4262"/>
    <w:rsid w:val="000B1DBA"/>
    <w:rsid w:val="000D6CBE"/>
    <w:rsid w:val="000F17FE"/>
    <w:rsid w:val="00102D4A"/>
    <w:rsid w:val="00103B45"/>
    <w:rsid w:val="0011042D"/>
    <w:rsid w:val="0011057C"/>
    <w:rsid w:val="00112D1B"/>
    <w:rsid w:val="00113D5B"/>
    <w:rsid w:val="00120CCC"/>
    <w:rsid w:val="001271A9"/>
    <w:rsid w:val="00144F48"/>
    <w:rsid w:val="0014529A"/>
    <w:rsid w:val="00153B22"/>
    <w:rsid w:val="001572F7"/>
    <w:rsid w:val="00162149"/>
    <w:rsid w:val="00171015"/>
    <w:rsid w:val="00172BBC"/>
    <w:rsid w:val="001740B2"/>
    <w:rsid w:val="001768A2"/>
    <w:rsid w:val="001923E9"/>
    <w:rsid w:val="00196DE3"/>
    <w:rsid w:val="001A1884"/>
    <w:rsid w:val="001A6EA3"/>
    <w:rsid w:val="001B1813"/>
    <w:rsid w:val="001C65E0"/>
    <w:rsid w:val="001C7562"/>
    <w:rsid w:val="001D3B28"/>
    <w:rsid w:val="001D6AEF"/>
    <w:rsid w:val="001D7F39"/>
    <w:rsid w:val="001E57C6"/>
    <w:rsid w:val="001E71BD"/>
    <w:rsid w:val="001F1824"/>
    <w:rsid w:val="001F3B92"/>
    <w:rsid w:val="00216C6A"/>
    <w:rsid w:val="00221376"/>
    <w:rsid w:val="0024541D"/>
    <w:rsid w:val="00250F1C"/>
    <w:rsid w:val="002525C7"/>
    <w:rsid w:val="0026000F"/>
    <w:rsid w:val="00261157"/>
    <w:rsid w:val="00262375"/>
    <w:rsid w:val="00266993"/>
    <w:rsid w:val="0027402E"/>
    <w:rsid w:val="002916D3"/>
    <w:rsid w:val="00293D7B"/>
    <w:rsid w:val="002978D6"/>
    <w:rsid w:val="002B0D8B"/>
    <w:rsid w:val="002D5F23"/>
    <w:rsid w:val="002F353B"/>
    <w:rsid w:val="00301F2A"/>
    <w:rsid w:val="00305D0A"/>
    <w:rsid w:val="003215C1"/>
    <w:rsid w:val="003425AA"/>
    <w:rsid w:val="003427E6"/>
    <w:rsid w:val="00362517"/>
    <w:rsid w:val="00382C5D"/>
    <w:rsid w:val="003A7239"/>
    <w:rsid w:val="003B1D0E"/>
    <w:rsid w:val="003B1E7D"/>
    <w:rsid w:val="003B5F8E"/>
    <w:rsid w:val="003B79AF"/>
    <w:rsid w:val="003D14B9"/>
    <w:rsid w:val="003D6A54"/>
    <w:rsid w:val="003F0B61"/>
    <w:rsid w:val="0040102A"/>
    <w:rsid w:val="00403AB9"/>
    <w:rsid w:val="00411531"/>
    <w:rsid w:val="00412360"/>
    <w:rsid w:val="00424057"/>
    <w:rsid w:val="004534CA"/>
    <w:rsid w:val="00463942"/>
    <w:rsid w:val="0046482D"/>
    <w:rsid w:val="004665D5"/>
    <w:rsid w:val="00470E12"/>
    <w:rsid w:val="00471AE6"/>
    <w:rsid w:val="00472967"/>
    <w:rsid w:val="004810E1"/>
    <w:rsid w:val="004827D3"/>
    <w:rsid w:val="004A2480"/>
    <w:rsid w:val="004C32E0"/>
    <w:rsid w:val="004D2161"/>
    <w:rsid w:val="004D3D2B"/>
    <w:rsid w:val="004E6257"/>
    <w:rsid w:val="004F54D5"/>
    <w:rsid w:val="00506CDA"/>
    <w:rsid w:val="00516211"/>
    <w:rsid w:val="00520799"/>
    <w:rsid w:val="0053653F"/>
    <w:rsid w:val="00537A74"/>
    <w:rsid w:val="00574AE9"/>
    <w:rsid w:val="00577DF2"/>
    <w:rsid w:val="00590ADB"/>
    <w:rsid w:val="005A4EDB"/>
    <w:rsid w:val="005B0F55"/>
    <w:rsid w:val="005B15E8"/>
    <w:rsid w:val="005B5E63"/>
    <w:rsid w:val="005C0769"/>
    <w:rsid w:val="005D5FB2"/>
    <w:rsid w:val="005E1FE3"/>
    <w:rsid w:val="005E69F5"/>
    <w:rsid w:val="00613094"/>
    <w:rsid w:val="00617E51"/>
    <w:rsid w:val="0063036D"/>
    <w:rsid w:val="006416BA"/>
    <w:rsid w:val="00660902"/>
    <w:rsid w:val="006610B2"/>
    <w:rsid w:val="006A55FE"/>
    <w:rsid w:val="006A6493"/>
    <w:rsid w:val="006B472F"/>
    <w:rsid w:val="006B768B"/>
    <w:rsid w:val="006C4F73"/>
    <w:rsid w:val="006E02BB"/>
    <w:rsid w:val="006E217C"/>
    <w:rsid w:val="006E75CA"/>
    <w:rsid w:val="00713F2D"/>
    <w:rsid w:val="00717211"/>
    <w:rsid w:val="00721F1C"/>
    <w:rsid w:val="0073147A"/>
    <w:rsid w:val="00742A6B"/>
    <w:rsid w:val="00765A4A"/>
    <w:rsid w:val="00780200"/>
    <w:rsid w:val="00784272"/>
    <w:rsid w:val="00795304"/>
    <w:rsid w:val="007B3B6B"/>
    <w:rsid w:val="007B675F"/>
    <w:rsid w:val="007C3730"/>
    <w:rsid w:val="007E77E8"/>
    <w:rsid w:val="008278BE"/>
    <w:rsid w:val="00850CCE"/>
    <w:rsid w:val="00867D74"/>
    <w:rsid w:val="00881B76"/>
    <w:rsid w:val="008A65AA"/>
    <w:rsid w:val="008D1434"/>
    <w:rsid w:val="008D7575"/>
    <w:rsid w:val="008E7F5E"/>
    <w:rsid w:val="009124FD"/>
    <w:rsid w:val="00935173"/>
    <w:rsid w:val="00936462"/>
    <w:rsid w:val="00941CB7"/>
    <w:rsid w:val="00953B8C"/>
    <w:rsid w:val="009570E1"/>
    <w:rsid w:val="009571FC"/>
    <w:rsid w:val="009605DD"/>
    <w:rsid w:val="00964DE9"/>
    <w:rsid w:val="0096631F"/>
    <w:rsid w:val="00966515"/>
    <w:rsid w:val="0097040E"/>
    <w:rsid w:val="009722A2"/>
    <w:rsid w:val="00973D97"/>
    <w:rsid w:val="009847D7"/>
    <w:rsid w:val="00987FC2"/>
    <w:rsid w:val="009904EE"/>
    <w:rsid w:val="009A4D24"/>
    <w:rsid w:val="009B284C"/>
    <w:rsid w:val="009B6953"/>
    <w:rsid w:val="009D0A59"/>
    <w:rsid w:val="009E0003"/>
    <w:rsid w:val="00A122A4"/>
    <w:rsid w:val="00A167B2"/>
    <w:rsid w:val="00A2128B"/>
    <w:rsid w:val="00A32115"/>
    <w:rsid w:val="00A50D47"/>
    <w:rsid w:val="00A71459"/>
    <w:rsid w:val="00A75187"/>
    <w:rsid w:val="00A85B1F"/>
    <w:rsid w:val="00A916C7"/>
    <w:rsid w:val="00A9616D"/>
    <w:rsid w:val="00AA11DB"/>
    <w:rsid w:val="00AB2640"/>
    <w:rsid w:val="00AC1D15"/>
    <w:rsid w:val="00AC5BF5"/>
    <w:rsid w:val="00AD2581"/>
    <w:rsid w:val="00AD2F7E"/>
    <w:rsid w:val="00AE1616"/>
    <w:rsid w:val="00AE3928"/>
    <w:rsid w:val="00AE6182"/>
    <w:rsid w:val="00B07697"/>
    <w:rsid w:val="00B100D8"/>
    <w:rsid w:val="00B11197"/>
    <w:rsid w:val="00B3136B"/>
    <w:rsid w:val="00B31BA0"/>
    <w:rsid w:val="00B50CBA"/>
    <w:rsid w:val="00B5195D"/>
    <w:rsid w:val="00B57A8D"/>
    <w:rsid w:val="00BB784E"/>
    <w:rsid w:val="00BC18E6"/>
    <w:rsid w:val="00BC25C6"/>
    <w:rsid w:val="00BC582F"/>
    <w:rsid w:val="00BC6C58"/>
    <w:rsid w:val="00BD70FD"/>
    <w:rsid w:val="00BE1131"/>
    <w:rsid w:val="00BF09DF"/>
    <w:rsid w:val="00BF4CE5"/>
    <w:rsid w:val="00C02356"/>
    <w:rsid w:val="00C04EF0"/>
    <w:rsid w:val="00C12FDC"/>
    <w:rsid w:val="00C42877"/>
    <w:rsid w:val="00C57A0D"/>
    <w:rsid w:val="00C62AF7"/>
    <w:rsid w:val="00C7196C"/>
    <w:rsid w:val="00C80E9A"/>
    <w:rsid w:val="00C91CFB"/>
    <w:rsid w:val="00C93AB0"/>
    <w:rsid w:val="00CC1D83"/>
    <w:rsid w:val="00D01223"/>
    <w:rsid w:val="00D01457"/>
    <w:rsid w:val="00D05616"/>
    <w:rsid w:val="00D05A63"/>
    <w:rsid w:val="00D34E4A"/>
    <w:rsid w:val="00D356F9"/>
    <w:rsid w:val="00D64814"/>
    <w:rsid w:val="00D8058A"/>
    <w:rsid w:val="00DB74AC"/>
    <w:rsid w:val="00DC132A"/>
    <w:rsid w:val="00DD7C40"/>
    <w:rsid w:val="00E10460"/>
    <w:rsid w:val="00E21F46"/>
    <w:rsid w:val="00E23A71"/>
    <w:rsid w:val="00E32C33"/>
    <w:rsid w:val="00E3307D"/>
    <w:rsid w:val="00E5024C"/>
    <w:rsid w:val="00E537C3"/>
    <w:rsid w:val="00E542EC"/>
    <w:rsid w:val="00E5474A"/>
    <w:rsid w:val="00E61937"/>
    <w:rsid w:val="00E6367A"/>
    <w:rsid w:val="00E730A3"/>
    <w:rsid w:val="00E8391D"/>
    <w:rsid w:val="00E9038F"/>
    <w:rsid w:val="00E914E5"/>
    <w:rsid w:val="00E91AD3"/>
    <w:rsid w:val="00EA42C0"/>
    <w:rsid w:val="00EC201D"/>
    <w:rsid w:val="00EC3E3F"/>
    <w:rsid w:val="00EC50B3"/>
    <w:rsid w:val="00EF1BCF"/>
    <w:rsid w:val="00EF4E85"/>
    <w:rsid w:val="00F0210F"/>
    <w:rsid w:val="00F06838"/>
    <w:rsid w:val="00F12810"/>
    <w:rsid w:val="00F1514F"/>
    <w:rsid w:val="00F16ADC"/>
    <w:rsid w:val="00F172DF"/>
    <w:rsid w:val="00F2284B"/>
    <w:rsid w:val="00F3262F"/>
    <w:rsid w:val="00F353CB"/>
    <w:rsid w:val="00F43CA6"/>
    <w:rsid w:val="00F4643E"/>
    <w:rsid w:val="00F505AE"/>
    <w:rsid w:val="00F60868"/>
    <w:rsid w:val="00F633E0"/>
    <w:rsid w:val="00F65EAA"/>
    <w:rsid w:val="00F72968"/>
    <w:rsid w:val="00F920A2"/>
    <w:rsid w:val="00F93E1C"/>
    <w:rsid w:val="00FA628A"/>
    <w:rsid w:val="00FA6EED"/>
    <w:rsid w:val="00FB2D15"/>
    <w:rsid w:val="00FB38D7"/>
    <w:rsid w:val="00FB4329"/>
    <w:rsid w:val="00FC78B5"/>
    <w:rsid w:val="00FE0350"/>
    <w:rsid w:val="00FE56D4"/>
    <w:rsid w:val="00FE6FBB"/>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2033A"/>
  <w15:docId w15:val="{E1295B1D-2898-4E7C-8DAB-D9FBD14C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UnresolvedMention1">
    <w:name w:val="Unresolved Mention1"/>
    <w:basedOn w:val="DefaultParagraphFont"/>
    <w:uiPriority w:val="99"/>
    <w:semiHidden/>
    <w:unhideWhenUsed/>
    <w:rsid w:val="006E02BB"/>
    <w:rPr>
      <w:color w:val="808080"/>
      <w:shd w:val="clear" w:color="auto" w:fill="E6E6E6"/>
    </w:rPr>
  </w:style>
  <w:style w:type="character" w:customStyle="1" w:styleId="UnresolvedMention2">
    <w:name w:val="Unresolved Mention2"/>
    <w:basedOn w:val="DefaultParagraphFont"/>
    <w:uiPriority w:val="99"/>
    <w:semiHidden/>
    <w:unhideWhenUsed/>
    <w:rsid w:val="004D3D2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931841">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ints@olsen.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BBE68-1D53-4759-B5B6-01BE9E39B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1568</Words>
  <Characters>895</Characters>
  <Application>Microsoft Office Word</Application>
  <DocSecurity>0</DocSecurity>
  <Lines>7</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Agris Daukste</dc:creator>
  <cp:lastModifiedBy>Agris Daukste</cp:lastModifiedBy>
  <cp:revision>2</cp:revision>
  <dcterms:created xsi:type="dcterms:W3CDTF">2018-05-09T12:39:00Z</dcterms:created>
  <dcterms:modified xsi:type="dcterms:W3CDTF">2018-05-09T12:39:00Z</dcterms:modified>
</cp:coreProperties>
</file>