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507BF10" w:rsidR="00E21F46" w:rsidRPr="002B67D9" w:rsidRDefault="002B67D9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3527EDFC" w:rsidR="00E21F46" w:rsidRDefault="0098630C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5C01F1">
        <w:rPr>
          <w:sz w:val="20"/>
          <w:szCs w:val="20"/>
        </w:rPr>
        <w:t>1</w:t>
      </w:r>
      <w:r w:rsidR="009571FC">
        <w:rPr>
          <w:sz w:val="20"/>
          <w:szCs w:val="20"/>
        </w:rPr>
        <w:t>.0</w:t>
      </w:r>
      <w:r w:rsidR="005C01F1">
        <w:rPr>
          <w:sz w:val="20"/>
          <w:szCs w:val="20"/>
        </w:rPr>
        <w:t>6</w:t>
      </w:r>
      <w:r w:rsidR="00162149" w:rsidRPr="0063036D">
        <w:rPr>
          <w:sz w:val="20"/>
          <w:szCs w:val="20"/>
        </w:rPr>
        <w:t>.201</w:t>
      </w:r>
      <w:r w:rsidR="00080743" w:rsidRPr="0063036D">
        <w:rPr>
          <w:sz w:val="20"/>
          <w:szCs w:val="20"/>
        </w:rPr>
        <w:t>8.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56C432B0" w14:textId="5587218A" w:rsidR="002B67D9" w:rsidRPr="002B67D9" w:rsidRDefault="002B67D9" w:rsidP="00F43CA6">
      <w:pPr>
        <w:spacing w:after="0" w:line="240" w:lineRule="auto"/>
        <w:jc w:val="both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>В течение 10 лет Янисы и Лиги получили более 3 миллионов евро в виде компенсаций ОСТА</w:t>
      </w:r>
    </w:p>
    <w:p w14:paraId="5077CCC1" w14:textId="3C1E81C0" w:rsidR="00C7196C" w:rsidRDefault="00C7196C" w:rsidP="00F43CA6">
      <w:pPr>
        <w:spacing w:after="0" w:line="240" w:lineRule="auto"/>
        <w:jc w:val="both"/>
        <w:rPr>
          <w:b/>
          <w:bCs/>
          <w:sz w:val="27"/>
          <w:szCs w:val="27"/>
        </w:rPr>
      </w:pPr>
    </w:p>
    <w:p w14:paraId="79647BB0" w14:textId="1A145CF3" w:rsidR="002B67D9" w:rsidRDefault="002B67D9" w:rsidP="00F43CA6">
      <w:pPr>
        <w:spacing w:after="0" w:line="240" w:lineRule="auto"/>
        <w:jc w:val="both"/>
        <w:rPr>
          <w:b/>
          <w:lang w:val="ru-RU"/>
        </w:rPr>
      </w:pPr>
      <w:bookmarkStart w:id="1" w:name="_GoBack"/>
      <w:r>
        <w:rPr>
          <w:b/>
          <w:lang w:val="ru-RU"/>
        </w:rPr>
        <w:t xml:space="preserve">Обобщенные данные Латвийского бюро страховщиков транспортных средств (далее </w:t>
      </w:r>
      <w:r w:rsidRPr="002B67D9">
        <w:rPr>
          <w:b/>
          <w:lang w:val="ru-RU"/>
        </w:rPr>
        <w:t xml:space="preserve">- LTAB) </w:t>
      </w:r>
      <w:r>
        <w:rPr>
          <w:b/>
          <w:lang w:val="ru-RU"/>
        </w:rPr>
        <w:t xml:space="preserve">свидетельствуют, что в период с 2009 года </w:t>
      </w:r>
      <w:r w:rsidR="00E367B5">
        <w:rPr>
          <w:b/>
          <w:lang w:val="ru-RU"/>
        </w:rPr>
        <w:t>по</w:t>
      </w:r>
      <w:r>
        <w:rPr>
          <w:b/>
          <w:lang w:val="ru-RU"/>
        </w:rPr>
        <w:t xml:space="preserve"> сегодняшн</w:t>
      </w:r>
      <w:r w:rsidR="00E367B5">
        <w:rPr>
          <w:b/>
          <w:lang w:val="ru-RU"/>
        </w:rPr>
        <w:t>ий</w:t>
      </w:r>
      <w:r>
        <w:rPr>
          <w:b/>
          <w:lang w:val="ru-RU"/>
        </w:rPr>
        <w:t xml:space="preserve"> д</w:t>
      </w:r>
      <w:r w:rsidR="00E367B5">
        <w:rPr>
          <w:b/>
          <w:lang w:val="ru-RU"/>
        </w:rPr>
        <w:t>ень</w:t>
      </w:r>
      <w:r>
        <w:rPr>
          <w:b/>
          <w:lang w:val="ru-RU"/>
        </w:rPr>
        <w:t xml:space="preserve"> Янисы и Лиги подали страховщикам более 4700 заявлений о страховых случаях ОСТА, получив</w:t>
      </w:r>
      <w:r w:rsidRPr="002B67D9">
        <w:rPr>
          <w:b/>
          <w:lang w:val="ru-RU"/>
        </w:rPr>
        <w:t xml:space="preserve"> 3</w:t>
      </w:r>
      <w:r>
        <w:rPr>
          <w:b/>
          <w:lang w:val="ru-RU"/>
        </w:rPr>
        <w:t>,3</w:t>
      </w:r>
      <w:r w:rsidRPr="002B67D9">
        <w:rPr>
          <w:b/>
          <w:lang w:val="ru-RU"/>
        </w:rPr>
        <w:t xml:space="preserve"> миллион</w:t>
      </w:r>
      <w:r>
        <w:rPr>
          <w:b/>
          <w:lang w:val="ru-RU"/>
        </w:rPr>
        <w:t xml:space="preserve">а </w:t>
      </w:r>
      <w:r w:rsidRPr="002B67D9">
        <w:rPr>
          <w:b/>
          <w:lang w:val="ru-RU"/>
        </w:rPr>
        <w:t>евро в виде компенсаций</w:t>
      </w:r>
      <w:r>
        <w:rPr>
          <w:b/>
          <w:lang w:val="ru-RU"/>
        </w:rPr>
        <w:t>.</w:t>
      </w:r>
      <w:bookmarkEnd w:id="1"/>
    </w:p>
    <w:p w14:paraId="42F69302" w14:textId="77777777" w:rsidR="002B67D9" w:rsidRPr="002B67D9" w:rsidRDefault="002B67D9" w:rsidP="00F43CA6">
      <w:pPr>
        <w:spacing w:after="0" w:line="240" w:lineRule="auto"/>
        <w:jc w:val="both"/>
        <w:rPr>
          <w:b/>
          <w:lang w:val="ru-RU"/>
        </w:rPr>
      </w:pPr>
    </w:p>
    <w:p w14:paraId="38652566" w14:textId="0A623273" w:rsidR="00F0210F" w:rsidRDefault="002B67D9" w:rsidP="00F43CA6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В течение последних десяти лет Янисы получили в общей сложности 2,72 миллиона евро в виде компенсаций ОСТА, а Лиги, в свою очередь – 0,31 миллион евро. Следует отметить, что объем выплачиваемых Янисам компенсаций увеличивается из года в год, и за последние 8 лет увеличился более, чем в 2 раза. За первые 6 месяцев этого года Янисы получили в виде компенсаций ОСТА 182 тысячи евро, а Лиги – 19,7 тысяч евро. Важно указать, что на Лиг зарегистрировано меньше транспортных средств.  </w:t>
      </w:r>
    </w:p>
    <w:p w14:paraId="74360F23" w14:textId="26672C11" w:rsidR="00040276" w:rsidRDefault="00040276" w:rsidP="00F43CA6">
      <w:pPr>
        <w:spacing w:after="0" w:line="240" w:lineRule="auto"/>
        <w:jc w:val="both"/>
        <w:rPr>
          <w:lang w:val="ru-RU"/>
        </w:rPr>
      </w:pPr>
      <w:r>
        <w:rPr>
          <w:noProof/>
          <w:lang w:eastAsia="lv-LV"/>
        </w:rPr>
        <w:drawing>
          <wp:inline distT="0" distB="0" distL="0" distR="0" wp14:anchorId="5F1248EA" wp14:editId="5359B33B">
            <wp:extent cx="5956300" cy="2692400"/>
            <wp:effectExtent l="0" t="0" r="6350" b="1270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79EEA181-B6B3-4B50-911F-A1F85B68D5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0307B6" w14:textId="77777777" w:rsidR="009C1B1C" w:rsidRDefault="009C1B1C" w:rsidP="00F43CA6">
      <w:pPr>
        <w:spacing w:after="0" w:line="240" w:lineRule="auto"/>
        <w:jc w:val="both"/>
        <w:rPr>
          <w:sz w:val="24"/>
          <w:szCs w:val="24"/>
        </w:rPr>
      </w:pPr>
    </w:p>
    <w:p w14:paraId="409009DC" w14:textId="29F3E3AE" w:rsidR="009C1B1C" w:rsidRPr="00E367B5" w:rsidRDefault="002B67D9" w:rsidP="00F43CA6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«Хотя доля выплаченных Янисам компенсаций больше и растет она стремительнее, однако необходимо заметить, что аварии, вызванные автоводителями по имени Янис</w:t>
      </w:r>
      <w:r w:rsidR="00E367B5">
        <w:rPr>
          <w:lang w:val="ru-RU"/>
        </w:rPr>
        <w:t>,</w:t>
      </w:r>
      <w:r>
        <w:rPr>
          <w:lang w:val="ru-RU"/>
        </w:rPr>
        <w:t xml:space="preserve"> имеют более тяжелые последствия. В отношении выплат, </w:t>
      </w:r>
      <w:r w:rsidR="00E367B5">
        <w:rPr>
          <w:lang w:val="ru-RU"/>
        </w:rPr>
        <w:t xml:space="preserve">наиболее тяжелое ДТП, </w:t>
      </w:r>
      <w:r>
        <w:rPr>
          <w:lang w:val="ru-RU"/>
        </w:rPr>
        <w:t>вызванное автоводителем Янисом в последнее время</w:t>
      </w:r>
      <w:r w:rsidR="00E367B5">
        <w:rPr>
          <w:lang w:val="ru-RU"/>
        </w:rPr>
        <w:t>,</w:t>
      </w:r>
      <w:r>
        <w:rPr>
          <w:lang w:val="ru-RU"/>
        </w:rPr>
        <w:t xml:space="preserve"> нанесло ущерб в размере 32 тысяч евро, тогда как </w:t>
      </w:r>
      <w:r w:rsidR="00E367B5">
        <w:rPr>
          <w:lang w:val="ru-RU"/>
        </w:rPr>
        <w:t xml:space="preserve">убытки от наиболее тяжелого ДТП, вызванного Лигой, составили 11 тысяч евро», - информирует председатель правления </w:t>
      </w:r>
      <w:r w:rsidR="00E367B5" w:rsidRPr="00CD7722">
        <w:t>LTAB</w:t>
      </w:r>
      <w:r w:rsidR="00E367B5">
        <w:rPr>
          <w:lang w:val="ru-RU"/>
        </w:rPr>
        <w:t xml:space="preserve"> Янис Абашин. </w:t>
      </w:r>
    </w:p>
    <w:tbl>
      <w:tblPr>
        <w:tblW w:w="5103" w:type="dxa"/>
        <w:jc w:val="center"/>
        <w:tblLook w:val="04A0" w:firstRow="1" w:lastRow="0" w:firstColumn="1" w:lastColumn="0" w:noHBand="0" w:noVBand="1"/>
      </w:tblPr>
      <w:tblGrid>
        <w:gridCol w:w="2554"/>
        <w:gridCol w:w="2549"/>
      </w:tblGrid>
      <w:tr w:rsidR="009C1B1C" w:rsidRPr="009C1B1C" w14:paraId="3731DFF9" w14:textId="77777777" w:rsidTr="00CB55C2">
        <w:trPr>
          <w:trHeight w:val="590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D40C0" w14:textId="77777777" w:rsidR="00E367B5" w:rsidRDefault="00E367B5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E24B884" w14:textId="77777777" w:rsidR="00545573" w:rsidRDefault="00E367B5" w:rsidP="00E36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Наиболее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тяжелые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в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отношении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выплат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ДТП,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вызванные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Янисами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и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Лигами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E367B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 xml:space="preserve">в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>течение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>последнего</w:t>
            </w:r>
            <w:proofErr w:type="spellEnd"/>
            <w:r w:rsidRPr="00E367B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proofErr w:type="spellStart"/>
            <w:r w:rsidRPr="00E367B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GB"/>
              </w:rPr>
              <w:t>года</w:t>
            </w:r>
            <w:proofErr w:type="spellEnd"/>
            <w:r w:rsidRPr="009C1B1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  <w:p w14:paraId="691A761B" w14:textId="421A1858" w:rsidR="00E367B5" w:rsidRPr="009C1B1C" w:rsidRDefault="00E367B5" w:rsidP="00E36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9C1B1C" w:rsidRPr="009C1B1C" w14:paraId="33802A7D" w14:textId="77777777" w:rsidTr="00CB55C2">
        <w:trPr>
          <w:trHeight w:val="290"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A1818" w14:textId="15784C76" w:rsidR="009C1B1C" w:rsidRPr="00E367B5" w:rsidRDefault="00E367B5" w:rsidP="009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RU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ru-RU" w:eastAsia="en-GB"/>
              </w:rPr>
              <w:t>Янис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2B12E1" w14:textId="0F7D8A11" w:rsidR="009C1B1C" w:rsidRPr="00E367B5" w:rsidRDefault="00E367B5" w:rsidP="009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ru-RU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ru-RU" w:eastAsia="en-GB"/>
              </w:rPr>
              <w:t>Лига</w:t>
            </w:r>
          </w:p>
        </w:tc>
      </w:tr>
      <w:tr w:rsidR="009C1B1C" w:rsidRPr="009C1B1C" w14:paraId="051491A0" w14:textId="77777777" w:rsidTr="00CB55C2">
        <w:trPr>
          <w:trHeight w:val="290"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EAD4DA" w14:textId="019AFDF9" w:rsidR="009C1B1C" w:rsidRPr="009C1B1C" w:rsidRDefault="00E367B5" w:rsidP="009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ru-RU" w:eastAsia="en-GB"/>
              </w:rPr>
              <w:t>Объем убытков</w:t>
            </w:r>
            <w:r w:rsidR="009C1B1C" w:rsidRPr="009C1B1C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, EUR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48810" w14:textId="73CCACA5" w:rsidR="009C1B1C" w:rsidRPr="009C1B1C" w:rsidRDefault="00E367B5" w:rsidP="009C1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ru-RU" w:eastAsia="en-GB"/>
              </w:rPr>
              <w:t>Объем убытков</w:t>
            </w:r>
            <w:r w:rsidR="009C1B1C" w:rsidRPr="009C1B1C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, EUR</w:t>
            </w:r>
          </w:p>
        </w:tc>
      </w:tr>
      <w:tr w:rsidR="009C1B1C" w:rsidRPr="009C1B1C" w14:paraId="4B8FDE40" w14:textId="77777777" w:rsidTr="00CB55C2">
        <w:trPr>
          <w:trHeight w:val="250"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695E" w14:textId="036CE051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</w:t>
            </w:r>
            <w:r w:rsidR="00CB55C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637.71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E24" w14:textId="3935331D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</w:t>
            </w:r>
            <w:r w:rsidR="00CB55C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702.39</w:t>
            </w:r>
          </w:p>
        </w:tc>
      </w:tr>
      <w:tr w:rsidR="009C1B1C" w:rsidRPr="009C1B1C" w14:paraId="2F12B36B" w14:textId="77777777" w:rsidTr="00CB55C2">
        <w:trPr>
          <w:trHeight w:val="250"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1404" w14:textId="531A6181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</w:t>
            </w:r>
            <w:r w:rsidR="00CB55C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457.09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C454" w14:textId="48F6B9AC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3845.87</w:t>
            </w:r>
          </w:p>
        </w:tc>
      </w:tr>
      <w:tr w:rsidR="009C1B1C" w:rsidRPr="009C1B1C" w14:paraId="23DD8249" w14:textId="77777777" w:rsidTr="00CB55C2">
        <w:trPr>
          <w:trHeight w:val="250"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CEBC" w14:textId="580D9DE3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</w:t>
            </w:r>
            <w:r w:rsidR="00CB55C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728.05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EB5A" w14:textId="5B231B49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</w:t>
            </w:r>
            <w:r w:rsidR="00CB55C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</w:t>
            </w: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40.57</w:t>
            </w:r>
          </w:p>
        </w:tc>
      </w:tr>
      <w:tr w:rsidR="009C1B1C" w:rsidRPr="009C1B1C" w14:paraId="7B598495" w14:textId="77777777" w:rsidTr="00CB55C2">
        <w:trPr>
          <w:trHeight w:val="250"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F2E7" w14:textId="45BD29B4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</w:t>
            </w:r>
            <w:r w:rsidR="00CB55C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673.71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4D3A" w14:textId="6CDAA38C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2133.32</w:t>
            </w:r>
          </w:p>
        </w:tc>
      </w:tr>
      <w:tr w:rsidR="009C1B1C" w:rsidRPr="009C1B1C" w14:paraId="70B788D8" w14:textId="77777777" w:rsidTr="00CB55C2">
        <w:trPr>
          <w:trHeight w:val="250"/>
          <w:jc w:val="center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3227" w14:textId="04F5AB45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9500.00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DCE9" w14:textId="1AC11E82" w:rsidR="009C1B1C" w:rsidRPr="009C1B1C" w:rsidRDefault="009C1B1C" w:rsidP="009C1B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1B1C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2122.50</w:t>
            </w:r>
          </w:p>
        </w:tc>
      </w:tr>
    </w:tbl>
    <w:p w14:paraId="05A5531F" w14:textId="77777777" w:rsidR="009C1B1C" w:rsidRPr="00FA628A" w:rsidDel="00A2128B" w:rsidRDefault="009C1B1C" w:rsidP="00F43CA6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19B32B7D" w14:textId="77777777" w:rsidR="00E367B5" w:rsidRDefault="00E367B5" w:rsidP="00E367B5">
      <w:pPr>
        <w:spacing w:after="0" w:line="240" w:lineRule="auto"/>
        <w:jc w:val="both"/>
      </w:pPr>
      <w:r>
        <w:t xml:space="preserve">В 1997 </w:t>
      </w:r>
      <w:proofErr w:type="spellStart"/>
      <w:r>
        <w:t>году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введена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ОСТА,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третьих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пострадавших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в </w:t>
      </w:r>
      <w:proofErr w:type="spellStart"/>
      <w:r>
        <w:t>странах-участницах</w:t>
      </w:r>
      <w:proofErr w:type="spellEnd"/>
      <w:r>
        <w:t xml:space="preserve"> </w:t>
      </w:r>
      <w:proofErr w:type="spellStart"/>
      <w:r>
        <w:t>Зеленой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создано</w:t>
      </w:r>
      <w:proofErr w:type="spellEnd"/>
      <w:r>
        <w:t xml:space="preserve"> </w:t>
      </w:r>
      <w:proofErr w:type="spellStart"/>
      <w:r>
        <w:t>Латвийское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страховщиков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(LTAB),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объединяет</w:t>
      </w:r>
      <w:proofErr w:type="spellEnd"/>
      <w:r>
        <w:t xml:space="preserve"> </w:t>
      </w:r>
      <w:proofErr w:type="spellStart"/>
      <w:r>
        <w:t>страховые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обладающие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производить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ОСТА в </w:t>
      </w:r>
      <w:proofErr w:type="spellStart"/>
      <w:r>
        <w:t>Латвии</w:t>
      </w:r>
      <w:proofErr w:type="spellEnd"/>
      <w:r>
        <w:t xml:space="preserve"> – AAS “Balta”, AAS “Baltijas Apdrošināšanas Nams”, AAS “BTA Baltic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SE “ERGO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“Gjensidige”,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If</w:t>
      </w:r>
      <w:proofErr w:type="spellEnd"/>
      <w:r>
        <w:t xml:space="preserve"> P&amp;C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Seesam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” и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Swedbank</w:t>
      </w:r>
      <w:proofErr w:type="spellEnd"/>
      <w:r>
        <w:t xml:space="preserve"> P&amp;C Insurance”.</w:t>
      </w:r>
    </w:p>
    <w:p w14:paraId="09981A07" w14:textId="77777777" w:rsidR="00E367B5" w:rsidRDefault="00E367B5" w:rsidP="00E367B5">
      <w:pPr>
        <w:spacing w:after="0" w:line="240" w:lineRule="auto"/>
        <w:jc w:val="both"/>
        <w:rPr>
          <w:sz w:val="16"/>
          <w:szCs w:val="16"/>
        </w:rPr>
      </w:pPr>
    </w:p>
    <w:p w14:paraId="2B2B3A30" w14:textId="77777777" w:rsidR="00E367B5" w:rsidRDefault="00E367B5" w:rsidP="00E367B5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Информацию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подготовил</w:t>
      </w:r>
      <w:proofErr w:type="spellEnd"/>
      <w:r>
        <w:rPr>
          <w:i/>
          <w:iCs/>
        </w:rPr>
        <w:t>:</w:t>
      </w:r>
    </w:p>
    <w:p w14:paraId="34640D65" w14:textId="77777777" w:rsidR="00E367B5" w:rsidRDefault="00E367B5" w:rsidP="00E367B5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Консультант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связям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общественностью</w:t>
      </w:r>
      <w:proofErr w:type="spellEnd"/>
      <w:r>
        <w:rPr>
          <w:i/>
          <w:iCs/>
        </w:rPr>
        <w:t xml:space="preserve"> LTAB </w:t>
      </w:r>
    </w:p>
    <w:p w14:paraId="7D6299E1" w14:textId="77777777" w:rsidR="00E367B5" w:rsidRDefault="00E367B5" w:rsidP="00E367B5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Гинтс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Лаздиньш</w:t>
      </w:r>
      <w:proofErr w:type="spellEnd"/>
    </w:p>
    <w:p w14:paraId="4AB643CD" w14:textId="77777777" w:rsidR="00E367B5" w:rsidRDefault="00E367B5" w:rsidP="00E367B5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Тел</w:t>
      </w:r>
      <w:proofErr w:type="spellEnd"/>
      <w:r>
        <w:rPr>
          <w:i/>
          <w:iCs/>
        </w:rPr>
        <w:t xml:space="preserve">: +371 29442282 </w:t>
      </w:r>
    </w:p>
    <w:p w14:paraId="4D53DB13" w14:textId="77777777" w:rsidR="00E367B5" w:rsidRDefault="00E367B5" w:rsidP="00E367B5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Э-</w:t>
      </w:r>
      <w:proofErr w:type="spellStart"/>
      <w:r>
        <w:rPr>
          <w:i/>
          <w:iCs/>
        </w:rPr>
        <w:t>почта</w:t>
      </w:r>
      <w:proofErr w:type="spellEnd"/>
      <w:r>
        <w:rPr>
          <w:i/>
          <w:iCs/>
        </w:rPr>
        <w:t xml:space="preserve">: </w:t>
      </w:r>
      <w:hyperlink r:id="rId8" w:history="1">
        <w:r>
          <w:rPr>
            <w:rStyle w:val="Hyperlink"/>
            <w:i/>
            <w:iCs/>
          </w:rPr>
          <w:t>gints@olsen.lv</w:t>
        </w:r>
      </w:hyperlink>
    </w:p>
    <w:p w14:paraId="25084C4F" w14:textId="77777777" w:rsidR="00E367B5" w:rsidRDefault="00E367B5" w:rsidP="00E367B5">
      <w:pPr>
        <w:spacing w:after="0" w:line="240" w:lineRule="auto"/>
        <w:jc w:val="both"/>
      </w:pPr>
    </w:p>
    <w:p w14:paraId="4A643576" w14:textId="77777777" w:rsidR="00E367B5" w:rsidRDefault="00E367B5" w:rsidP="00E367B5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Если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больше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хотите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получать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новости</w:t>
      </w:r>
      <w:proofErr w:type="spellEnd"/>
      <w:r>
        <w:rPr>
          <w:sz w:val="18"/>
          <w:szCs w:val="18"/>
        </w:rPr>
        <w:t xml:space="preserve"> о LTAB, </w:t>
      </w:r>
      <w:proofErr w:type="spellStart"/>
      <w:r>
        <w:rPr>
          <w:sz w:val="18"/>
          <w:szCs w:val="18"/>
        </w:rPr>
        <w:t>пожалуйста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ответьте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это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письмо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словом</w:t>
      </w:r>
      <w:proofErr w:type="spellEnd"/>
      <w:r>
        <w:rPr>
          <w:sz w:val="18"/>
          <w:szCs w:val="18"/>
        </w:rPr>
        <w:t xml:space="preserve"> «</w:t>
      </w:r>
      <w:proofErr w:type="spellStart"/>
      <w:r>
        <w:rPr>
          <w:sz w:val="18"/>
          <w:szCs w:val="18"/>
        </w:rPr>
        <w:t>Отказываюсь</w:t>
      </w:r>
      <w:proofErr w:type="spellEnd"/>
      <w:r>
        <w:rPr>
          <w:sz w:val="18"/>
          <w:szCs w:val="18"/>
        </w:rPr>
        <w:t xml:space="preserve">» </w:t>
      </w:r>
      <w:proofErr w:type="spellStart"/>
      <w:r>
        <w:rPr>
          <w:sz w:val="18"/>
          <w:szCs w:val="18"/>
        </w:rPr>
        <w:t>или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пишите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hyperlink r:id="rId9" w:history="1">
        <w:r>
          <w:rPr>
            <w:rStyle w:val="Hyperlink"/>
            <w:sz w:val="18"/>
            <w:szCs w:val="18"/>
          </w:rPr>
          <w:t>info@olsen.lv</w:t>
        </w:r>
      </w:hyperlink>
      <w:r>
        <w:rPr>
          <w:sz w:val="18"/>
          <w:szCs w:val="18"/>
        </w:rPr>
        <w:t>.</w:t>
      </w:r>
    </w:p>
    <w:p w14:paraId="09E46E88" w14:textId="4412A0E4" w:rsidR="00617E51" w:rsidRPr="0063036D" w:rsidRDefault="00617E51" w:rsidP="00E367B5">
      <w:pPr>
        <w:spacing w:after="0" w:line="240" w:lineRule="auto"/>
        <w:jc w:val="both"/>
        <w:rPr>
          <w:sz w:val="16"/>
          <w:szCs w:val="16"/>
        </w:rPr>
      </w:pPr>
    </w:p>
    <w:sectPr w:rsidR="00617E51" w:rsidRPr="0063036D" w:rsidSect="00CD7722">
      <w:headerReference w:type="default" r:id="rId10"/>
      <w:footerReference w:type="default" r:id="rId11"/>
      <w:pgSz w:w="11906" w:h="16838"/>
      <w:pgMar w:top="1178" w:right="1274" w:bottom="993" w:left="1276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E515" w14:textId="77777777" w:rsidR="00DB280A" w:rsidRDefault="00DB280A" w:rsidP="00C62AF7">
      <w:pPr>
        <w:spacing w:after="0" w:line="240" w:lineRule="auto"/>
      </w:pPr>
      <w:r>
        <w:separator/>
      </w:r>
    </w:p>
  </w:endnote>
  <w:endnote w:type="continuationSeparator" w:id="0">
    <w:p w14:paraId="697D33E5" w14:textId="77777777" w:rsidR="00DB280A" w:rsidRDefault="00DB280A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F423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pt;height:20.25pt">
          <v:imagedata r:id="rId1" o:title=""/>
        </v:shape>
        <o:OLEObject Type="Embed" ProgID="CorelDraw.Graphic.17" ShapeID="_x0000_i1026" DrawAspect="Content" ObjectID="_1591106011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7DB58" w14:textId="77777777" w:rsidR="00DB280A" w:rsidRDefault="00DB280A" w:rsidP="00C62AF7">
      <w:pPr>
        <w:spacing w:after="0" w:line="240" w:lineRule="auto"/>
      </w:pPr>
      <w:r>
        <w:separator/>
      </w:r>
    </w:p>
  </w:footnote>
  <w:footnote w:type="continuationSeparator" w:id="0">
    <w:p w14:paraId="0A187FD1" w14:textId="77777777" w:rsidR="00DB280A" w:rsidRDefault="00DB280A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3.25pt">
          <v:imagedata r:id="rId1" o:title=""/>
        </v:shape>
        <o:OLEObject Type="Embed" ProgID="CorelDraw.Graphic.17" ShapeID="_x0000_i1025" DrawAspect="Content" ObjectID="_1591106010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26571"/>
    <w:rsid w:val="00040165"/>
    <w:rsid w:val="00040276"/>
    <w:rsid w:val="000533E0"/>
    <w:rsid w:val="00057CFE"/>
    <w:rsid w:val="00073A1B"/>
    <w:rsid w:val="00080743"/>
    <w:rsid w:val="000862BA"/>
    <w:rsid w:val="00090F83"/>
    <w:rsid w:val="00092E79"/>
    <w:rsid w:val="00094687"/>
    <w:rsid w:val="00095CC7"/>
    <w:rsid w:val="000A4262"/>
    <w:rsid w:val="000B1DBA"/>
    <w:rsid w:val="000F17FE"/>
    <w:rsid w:val="00102D4A"/>
    <w:rsid w:val="00103B45"/>
    <w:rsid w:val="001054B0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4FEE"/>
    <w:rsid w:val="001572F7"/>
    <w:rsid w:val="00162149"/>
    <w:rsid w:val="00171015"/>
    <w:rsid w:val="00172BBC"/>
    <w:rsid w:val="001740B2"/>
    <w:rsid w:val="001768A2"/>
    <w:rsid w:val="001923E9"/>
    <w:rsid w:val="00196DE3"/>
    <w:rsid w:val="001A1884"/>
    <w:rsid w:val="001A6EA3"/>
    <w:rsid w:val="001B1813"/>
    <w:rsid w:val="001B5C59"/>
    <w:rsid w:val="001C65E0"/>
    <w:rsid w:val="001C7562"/>
    <w:rsid w:val="001D3B28"/>
    <w:rsid w:val="001D6AEF"/>
    <w:rsid w:val="001D7F39"/>
    <w:rsid w:val="001E57C6"/>
    <w:rsid w:val="001E71BD"/>
    <w:rsid w:val="001F1824"/>
    <w:rsid w:val="001F3B92"/>
    <w:rsid w:val="001F6250"/>
    <w:rsid w:val="00216C6A"/>
    <w:rsid w:val="00221376"/>
    <w:rsid w:val="0024541D"/>
    <w:rsid w:val="00250F1C"/>
    <w:rsid w:val="002525C7"/>
    <w:rsid w:val="0026000F"/>
    <w:rsid w:val="00261157"/>
    <w:rsid w:val="00262375"/>
    <w:rsid w:val="00266993"/>
    <w:rsid w:val="0027402E"/>
    <w:rsid w:val="002916D3"/>
    <w:rsid w:val="00293D7B"/>
    <w:rsid w:val="002978D6"/>
    <w:rsid w:val="002B0D8B"/>
    <w:rsid w:val="002B67D9"/>
    <w:rsid w:val="002D5F23"/>
    <w:rsid w:val="002F353B"/>
    <w:rsid w:val="00301F2A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D14B9"/>
    <w:rsid w:val="003D6A54"/>
    <w:rsid w:val="003F0B61"/>
    <w:rsid w:val="0040102A"/>
    <w:rsid w:val="00403AB9"/>
    <w:rsid w:val="004049E3"/>
    <w:rsid w:val="00411531"/>
    <w:rsid w:val="00412360"/>
    <w:rsid w:val="00424057"/>
    <w:rsid w:val="00446667"/>
    <w:rsid w:val="004534CA"/>
    <w:rsid w:val="00463942"/>
    <w:rsid w:val="0046482D"/>
    <w:rsid w:val="004665D5"/>
    <w:rsid w:val="00470E12"/>
    <w:rsid w:val="00471AE6"/>
    <w:rsid w:val="00472967"/>
    <w:rsid w:val="004810E1"/>
    <w:rsid w:val="004827D3"/>
    <w:rsid w:val="004A2480"/>
    <w:rsid w:val="004C32E0"/>
    <w:rsid w:val="004C7DFD"/>
    <w:rsid w:val="004D2161"/>
    <w:rsid w:val="004D3D2B"/>
    <w:rsid w:val="004E03FE"/>
    <w:rsid w:val="004E6257"/>
    <w:rsid w:val="004F54D5"/>
    <w:rsid w:val="004F565B"/>
    <w:rsid w:val="00506CDA"/>
    <w:rsid w:val="00516211"/>
    <w:rsid w:val="00520799"/>
    <w:rsid w:val="0053653F"/>
    <w:rsid w:val="00537A74"/>
    <w:rsid w:val="00545573"/>
    <w:rsid w:val="005572E9"/>
    <w:rsid w:val="00576B73"/>
    <w:rsid w:val="00577DF2"/>
    <w:rsid w:val="00590ADB"/>
    <w:rsid w:val="005A4EDB"/>
    <w:rsid w:val="005B0A5A"/>
    <w:rsid w:val="005B0F55"/>
    <w:rsid w:val="005B15E8"/>
    <w:rsid w:val="005B5E63"/>
    <w:rsid w:val="005C01F1"/>
    <w:rsid w:val="005C0769"/>
    <w:rsid w:val="005D5FB2"/>
    <w:rsid w:val="005E1FE3"/>
    <w:rsid w:val="005E69F5"/>
    <w:rsid w:val="00613094"/>
    <w:rsid w:val="00617E51"/>
    <w:rsid w:val="0063036D"/>
    <w:rsid w:val="006416BA"/>
    <w:rsid w:val="0064621F"/>
    <w:rsid w:val="00660902"/>
    <w:rsid w:val="006610B2"/>
    <w:rsid w:val="00684F47"/>
    <w:rsid w:val="006A55FE"/>
    <w:rsid w:val="006A6493"/>
    <w:rsid w:val="006B472F"/>
    <w:rsid w:val="006B768B"/>
    <w:rsid w:val="006C4F73"/>
    <w:rsid w:val="006E02BB"/>
    <w:rsid w:val="006E217C"/>
    <w:rsid w:val="006E75CA"/>
    <w:rsid w:val="00710220"/>
    <w:rsid w:val="00713F2D"/>
    <w:rsid w:val="00717211"/>
    <w:rsid w:val="00721F1C"/>
    <w:rsid w:val="00742A6B"/>
    <w:rsid w:val="00743D98"/>
    <w:rsid w:val="00765A4A"/>
    <w:rsid w:val="00780200"/>
    <w:rsid w:val="00784272"/>
    <w:rsid w:val="00795304"/>
    <w:rsid w:val="007B3B6B"/>
    <w:rsid w:val="007B675F"/>
    <w:rsid w:val="007C3730"/>
    <w:rsid w:val="007E77E8"/>
    <w:rsid w:val="008278BE"/>
    <w:rsid w:val="0082795A"/>
    <w:rsid w:val="00830A6E"/>
    <w:rsid w:val="00850CCE"/>
    <w:rsid w:val="00867D74"/>
    <w:rsid w:val="00881B76"/>
    <w:rsid w:val="008A29EC"/>
    <w:rsid w:val="008A65AA"/>
    <w:rsid w:val="008D1434"/>
    <w:rsid w:val="008D7575"/>
    <w:rsid w:val="008E7F5E"/>
    <w:rsid w:val="009027DC"/>
    <w:rsid w:val="009124FD"/>
    <w:rsid w:val="00935173"/>
    <w:rsid w:val="00936462"/>
    <w:rsid w:val="00941CB7"/>
    <w:rsid w:val="00953B8C"/>
    <w:rsid w:val="009570E1"/>
    <w:rsid w:val="009571FC"/>
    <w:rsid w:val="009605DD"/>
    <w:rsid w:val="00964DE9"/>
    <w:rsid w:val="0096631F"/>
    <w:rsid w:val="00966515"/>
    <w:rsid w:val="00967BBA"/>
    <w:rsid w:val="0097040E"/>
    <w:rsid w:val="009722A2"/>
    <w:rsid w:val="00973D97"/>
    <w:rsid w:val="009847D7"/>
    <w:rsid w:val="0098630C"/>
    <w:rsid w:val="00987FC2"/>
    <w:rsid w:val="009904EE"/>
    <w:rsid w:val="009A4D24"/>
    <w:rsid w:val="009B284C"/>
    <w:rsid w:val="009B6953"/>
    <w:rsid w:val="009C1B1C"/>
    <w:rsid w:val="009D0A59"/>
    <w:rsid w:val="00A051B3"/>
    <w:rsid w:val="00A122A4"/>
    <w:rsid w:val="00A167B2"/>
    <w:rsid w:val="00A2128B"/>
    <w:rsid w:val="00A32115"/>
    <w:rsid w:val="00A50D47"/>
    <w:rsid w:val="00A71459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289D"/>
    <w:rsid w:val="00B07697"/>
    <w:rsid w:val="00B100D8"/>
    <w:rsid w:val="00B11197"/>
    <w:rsid w:val="00B12160"/>
    <w:rsid w:val="00B2323C"/>
    <w:rsid w:val="00B3136B"/>
    <w:rsid w:val="00B31BA0"/>
    <w:rsid w:val="00B50CBA"/>
    <w:rsid w:val="00B5195D"/>
    <w:rsid w:val="00B57A8D"/>
    <w:rsid w:val="00BB784E"/>
    <w:rsid w:val="00BC18E6"/>
    <w:rsid w:val="00BC25C6"/>
    <w:rsid w:val="00BC582F"/>
    <w:rsid w:val="00BC6C58"/>
    <w:rsid w:val="00BD70FD"/>
    <w:rsid w:val="00BD7F46"/>
    <w:rsid w:val="00BE1131"/>
    <w:rsid w:val="00BF09DF"/>
    <w:rsid w:val="00BF4CE5"/>
    <w:rsid w:val="00C02356"/>
    <w:rsid w:val="00C04EF0"/>
    <w:rsid w:val="00C12FDC"/>
    <w:rsid w:val="00C42877"/>
    <w:rsid w:val="00C57A0D"/>
    <w:rsid w:val="00C62AF7"/>
    <w:rsid w:val="00C7196C"/>
    <w:rsid w:val="00C759DA"/>
    <w:rsid w:val="00C80E9A"/>
    <w:rsid w:val="00C91CFB"/>
    <w:rsid w:val="00C93AB0"/>
    <w:rsid w:val="00CB55C2"/>
    <w:rsid w:val="00CC1D83"/>
    <w:rsid w:val="00CD7722"/>
    <w:rsid w:val="00D01223"/>
    <w:rsid w:val="00D01457"/>
    <w:rsid w:val="00D05616"/>
    <w:rsid w:val="00D05A63"/>
    <w:rsid w:val="00D34E4A"/>
    <w:rsid w:val="00D356F9"/>
    <w:rsid w:val="00D6028B"/>
    <w:rsid w:val="00D64814"/>
    <w:rsid w:val="00D8058A"/>
    <w:rsid w:val="00D81BF2"/>
    <w:rsid w:val="00DA57E5"/>
    <w:rsid w:val="00DB280A"/>
    <w:rsid w:val="00DB74AC"/>
    <w:rsid w:val="00DC132A"/>
    <w:rsid w:val="00DD7C40"/>
    <w:rsid w:val="00E10460"/>
    <w:rsid w:val="00E21F46"/>
    <w:rsid w:val="00E23A71"/>
    <w:rsid w:val="00E32C33"/>
    <w:rsid w:val="00E3307D"/>
    <w:rsid w:val="00E367B5"/>
    <w:rsid w:val="00E5024C"/>
    <w:rsid w:val="00E537C3"/>
    <w:rsid w:val="00E542EC"/>
    <w:rsid w:val="00E5474A"/>
    <w:rsid w:val="00E61937"/>
    <w:rsid w:val="00E6367A"/>
    <w:rsid w:val="00E730A3"/>
    <w:rsid w:val="00E7415D"/>
    <w:rsid w:val="00E8391D"/>
    <w:rsid w:val="00E9038F"/>
    <w:rsid w:val="00E914E5"/>
    <w:rsid w:val="00E91AD3"/>
    <w:rsid w:val="00EA42C0"/>
    <w:rsid w:val="00EC201D"/>
    <w:rsid w:val="00EC3E3F"/>
    <w:rsid w:val="00EC50B3"/>
    <w:rsid w:val="00EF1BCF"/>
    <w:rsid w:val="00EF4E85"/>
    <w:rsid w:val="00F0210F"/>
    <w:rsid w:val="00F06838"/>
    <w:rsid w:val="00F10420"/>
    <w:rsid w:val="00F12810"/>
    <w:rsid w:val="00F1514F"/>
    <w:rsid w:val="00F16ADC"/>
    <w:rsid w:val="00F172DF"/>
    <w:rsid w:val="00F2284B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28A"/>
    <w:rsid w:val="00FA6EED"/>
    <w:rsid w:val="00FB2D15"/>
    <w:rsid w:val="00FB38D7"/>
    <w:rsid w:val="00FB4329"/>
    <w:rsid w:val="00FC78B5"/>
    <w:rsid w:val="00FE0350"/>
    <w:rsid w:val="00FE4484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E1295B1D-2898-4E7C-8DAB-D9FBD14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lsen.l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.W.%20Olsen\Desktop\Copy%20of%20Jani-Ligas_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/>
              <a:t>Объем</a:t>
            </a:r>
            <a:r>
              <a:rPr lang="ru-RU" sz="1300" baseline="0"/>
              <a:t> выплаченных Янисам и Лигам компенсаций с 2009 по 2017 год (тыс.,евро)</a:t>
            </a:r>
            <a:endParaRPr lang="lv-LV" sz="1300"/>
          </a:p>
        </c:rich>
      </c:tx>
      <c:layout>
        <c:manualLayout>
          <c:xMode val="edge"/>
          <c:yMode val="edge"/>
          <c:x val="0.1433818897637795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Izmaks.atl.apjoms!$B$1:$B$2</c:f>
              <c:strCache>
                <c:ptCount val="2"/>
                <c:pt idx="0">
                  <c:v>Объем выплаченных компенсаций (тыс.,евро):</c:v>
                </c:pt>
                <c:pt idx="1">
                  <c:v>Лига 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Izmaks.atl.apjoms!$A$3:$A$11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Izmaks.atl.apjoms!$B$3:$B$11</c:f>
              <c:numCache>
                <c:formatCode>#,##0.00</c:formatCode>
                <c:ptCount val="9"/>
                <c:pt idx="0">
                  <c:v>25</c:v>
                </c:pt>
                <c:pt idx="1">
                  <c:v>14</c:v>
                </c:pt>
                <c:pt idx="2">
                  <c:v>22</c:v>
                </c:pt>
                <c:pt idx="3">
                  <c:v>21</c:v>
                </c:pt>
                <c:pt idx="4">
                  <c:v>29</c:v>
                </c:pt>
                <c:pt idx="5">
                  <c:v>40</c:v>
                </c:pt>
                <c:pt idx="6">
                  <c:v>49</c:v>
                </c:pt>
                <c:pt idx="7">
                  <c:v>55</c:v>
                </c:pt>
                <c:pt idx="8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02-4306-BFF0-FD33328C6044}"/>
            </c:ext>
          </c:extLst>
        </c:ser>
        <c:ser>
          <c:idx val="1"/>
          <c:order val="1"/>
          <c:tx>
            <c:strRef>
              <c:f>Izmaks.atl.apjoms!$C$1:$C$2</c:f>
              <c:strCache>
                <c:ptCount val="2"/>
                <c:pt idx="0">
                  <c:v>Объем выплаченных компенсаций (тыс.,евро):</c:v>
                </c:pt>
                <c:pt idx="1">
                  <c:v>Янис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4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Izmaks.atl.apjoms!$A$3:$A$11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Izmaks.atl.apjoms!$C$3:$C$11</c:f>
              <c:numCache>
                <c:formatCode>#,##0.00</c:formatCode>
                <c:ptCount val="9"/>
                <c:pt idx="0">
                  <c:v>246</c:v>
                </c:pt>
                <c:pt idx="1">
                  <c:v>151</c:v>
                </c:pt>
                <c:pt idx="2">
                  <c:v>211</c:v>
                </c:pt>
                <c:pt idx="3">
                  <c:v>234</c:v>
                </c:pt>
                <c:pt idx="4">
                  <c:v>277</c:v>
                </c:pt>
                <c:pt idx="5">
                  <c:v>302</c:v>
                </c:pt>
                <c:pt idx="6">
                  <c:v>316</c:v>
                </c:pt>
                <c:pt idx="7">
                  <c:v>377</c:v>
                </c:pt>
                <c:pt idx="8">
                  <c:v>396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02-4306-BFF0-FD33328C604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2166600"/>
        <c:axId val="412173488"/>
      </c:lineChart>
      <c:catAx>
        <c:axId val="412166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12173488"/>
        <c:crosses val="autoZero"/>
        <c:auto val="1"/>
        <c:lblAlgn val="ctr"/>
        <c:lblOffset val="100"/>
        <c:noMultiLvlLbl val="0"/>
      </c:catAx>
      <c:valAx>
        <c:axId val="4121734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412166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8BB1-B9CA-48B7-8B23-1ABED8FC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977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2018-06-21T14:07:00Z</dcterms:created>
  <dcterms:modified xsi:type="dcterms:W3CDTF">2018-06-21T14:07:00Z</dcterms:modified>
</cp:coreProperties>
</file>