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279888B9" w:rsidR="00E21F46" w:rsidRPr="00112D17" w:rsidRDefault="00112D17" w:rsidP="00E21F46">
      <w:pPr>
        <w:spacing w:after="0" w:line="240" w:lineRule="auto"/>
        <w:jc w:val="right"/>
        <w:rPr>
          <w:lang w:val="ru-RU"/>
        </w:rPr>
      </w:pPr>
      <w:r>
        <w:rPr>
          <w:lang w:val="ru-RU"/>
        </w:rPr>
        <w:t>Информация для представителей СМИ</w:t>
      </w:r>
    </w:p>
    <w:p w14:paraId="755FEFD0" w14:textId="180674FC" w:rsidR="00E21F46" w:rsidRDefault="00D64013" w:rsidP="00E21F46">
      <w:pPr>
        <w:spacing w:after="0" w:line="240" w:lineRule="auto"/>
        <w:jc w:val="right"/>
      </w:pPr>
      <w:r>
        <w:t>2</w:t>
      </w:r>
      <w:r w:rsidR="00234077">
        <w:t>1</w:t>
      </w:r>
      <w:r w:rsidR="002F2970">
        <w:t>.1</w:t>
      </w:r>
      <w:r w:rsidR="00230126">
        <w:t>2</w:t>
      </w:r>
      <w:r w:rsidR="00162149">
        <w:t>.201</w:t>
      </w:r>
      <w:r>
        <w:t>8.</w:t>
      </w:r>
    </w:p>
    <w:p w14:paraId="19D3F1B8" w14:textId="77777777" w:rsidR="002104A1" w:rsidRDefault="002104A1" w:rsidP="00E21F46">
      <w:pPr>
        <w:spacing w:after="0" w:line="240" w:lineRule="auto"/>
        <w:jc w:val="right"/>
      </w:pPr>
    </w:p>
    <w:p w14:paraId="26FD0D3C" w14:textId="6940A53F" w:rsidR="00112D17" w:rsidRPr="00112D17" w:rsidRDefault="00070331" w:rsidP="00C40F73">
      <w:pPr>
        <w:rPr>
          <w:b/>
          <w:sz w:val="28"/>
          <w:szCs w:val="28"/>
          <w:lang w:val="ru-RU"/>
        </w:rPr>
      </w:pPr>
      <w:r>
        <w:rPr>
          <w:b/>
          <w:sz w:val="28"/>
          <w:szCs w:val="28"/>
        </w:rPr>
        <w:t xml:space="preserve">LTAB: </w:t>
      </w:r>
      <w:r w:rsidR="00112D17" w:rsidRPr="00112D17">
        <w:rPr>
          <w:b/>
          <w:sz w:val="28"/>
          <w:szCs w:val="28"/>
        </w:rPr>
        <w:t>сам</w:t>
      </w:r>
      <w:r w:rsidR="00112D17">
        <w:rPr>
          <w:b/>
          <w:sz w:val="28"/>
          <w:szCs w:val="28"/>
          <w:lang w:val="ru-RU"/>
        </w:rPr>
        <w:t>ые главные события в сфере ОСТА в 2018 году</w:t>
      </w:r>
    </w:p>
    <w:p w14:paraId="3B31B056" w14:textId="06272711" w:rsidR="00112D17" w:rsidRPr="00112D17" w:rsidRDefault="00112D17" w:rsidP="00C40F73">
      <w:pPr>
        <w:jc w:val="both"/>
        <w:rPr>
          <w:b/>
          <w:sz w:val="24"/>
          <w:szCs w:val="24"/>
          <w:lang w:val="ru-RU"/>
        </w:rPr>
      </w:pPr>
      <w:bookmarkStart w:id="0" w:name="_GoBack"/>
      <w:r w:rsidRPr="00112D17">
        <w:rPr>
          <w:b/>
          <w:sz w:val="24"/>
          <w:szCs w:val="24"/>
        </w:rPr>
        <w:t>Латвийское бюро страховщиков транспортных средств (далее – LTAB)</w:t>
      </w:r>
      <w:r>
        <w:rPr>
          <w:b/>
          <w:sz w:val="24"/>
          <w:szCs w:val="24"/>
          <w:lang w:val="ru-RU"/>
        </w:rPr>
        <w:t xml:space="preserve"> обобщило ключевые события </w:t>
      </w:r>
      <w:r w:rsidRPr="00112D17">
        <w:rPr>
          <w:b/>
          <w:sz w:val="24"/>
          <w:szCs w:val="24"/>
          <w:lang w:val="ru-RU"/>
        </w:rPr>
        <w:t xml:space="preserve">в сфере ОСТА </w:t>
      </w:r>
      <w:r>
        <w:rPr>
          <w:b/>
          <w:sz w:val="24"/>
          <w:szCs w:val="24"/>
          <w:lang w:val="ru-RU"/>
        </w:rPr>
        <w:t>за</w:t>
      </w:r>
      <w:r w:rsidRPr="00112D17">
        <w:rPr>
          <w:b/>
          <w:sz w:val="24"/>
          <w:szCs w:val="24"/>
          <w:lang w:val="ru-RU"/>
        </w:rPr>
        <w:t xml:space="preserve"> 2018 год</w:t>
      </w:r>
      <w:r>
        <w:rPr>
          <w:b/>
          <w:sz w:val="24"/>
          <w:szCs w:val="24"/>
          <w:lang w:val="ru-RU"/>
        </w:rPr>
        <w:t xml:space="preserve">. «Если 2017 год в сфере ОСТА был насыщен различными процессами, существенно повлиявшими на рынок и затронувшими почти каждого автоводителя, то этот год для отрасли был сравнительно спокойным. Страховщики больше внимания уделяли упорядочиванию внутренних процессов. Также продолжилась работа над приведением в порядок законодательства, регулирующего отрасль», - комментирует наиболее важные события года председатель правления </w:t>
      </w:r>
      <w:r>
        <w:rPr>
          <w:b/>
          <w:sz w:val="24"/>
          <w:szCs w:val="24"/>
        </w:rPr>
        <w:t>LTAB</w:t>
      </w:r>
      <w:r>
        <w:rPr>
          <w:b/>
          <w:sz w:val="24"/>
          <w:szCs w:val="24"/>
          <w:lang w:val="ru-RU"/>
        </w:rPr>
        <w:t xml:space="preserve"> Янис Абашин.</w:t>
      </w:r>
      <w:bookmarkEnd w:id="0"/>
      <w:r>
        <w:rPr>
          <w:b/>
          <w:sz w:val="24"/>
          <w:szCs w:val="24"/>
          <w:lang w:val="ru-RU"/>
        </w:rPr>
        <w:t xml:space="preserve"> </w:t>
      </w:r>
    </w:p>
    <w:p w14:paraId="3D231F0B" w14:textId="5CD51F86" w:rsidR="00112D17" w:rsidRPr="00E31A39" w:rsidRDefault="00112D17" w:rsidP="00C40F73">
      <w:pPr>
        <w:jc w:val="both"/>
        <w:rPr>
          <w:sz w:val="24"/>
          <w:szCs w:val="24"/>
          <w:lang w:val="ru-RU"/>
        </w:rPr>
      </w:pPr>
      <w:r>
        <w:rPr>
          <w:sz w:val="24"/>
          <w:szCs w:val="24"/>
          <w:lang w:val="ru-RU"/>
        </w:rPr>
        <w:t xml:space="preserve">Почти в течение </w:t>
      </w:r>
      <w:r w:rsidR="00E31A39">
        <w:rPr>
          <w:sz w:val="24"/>
          <w:szCs w:val="24"/>
          <w:lang w:val="ru-RU"/>
        </w:rPr>
        <w:t xml:space="preserve">всего года рассматривались и улучшались подготовленные министерством финансов поправки в законе об ОСТА. Цель поправок – дополнить действующие нормы закона об ОСТА, ведь тогда предложенные решения </w:t>
      </w:r>
      <w:r w:rsidR="00356918">
        <w:rPr>
          <w:sz w:val="24"/>
          <w:szCs w:val="24"/>
          <w:lang w:val="ru-RU"/>
        </w:rPr>
        <w:t>урегулируют</w:t>
      </w:r>
      <w:r w:rsidR="00E31A39">
        <w:rPr>
          <w:sz w:val="24"/>
          <w:szCs w:val="24"/>
          <w:lang w:val="ru-RU"/>
        </w:rPr>
        <w:t xml:space="preserve"> констатированные на практике недостатки и внесут улучшения, действующие в интересах пострадавших в ДТП лиц, застрахованных и водителей, а также установят новые лимиты ответственности страховщиков в вопросах компенсации причиненного имуществу ущерба. Планируется, что изменения вступят в силу в начале 2019 года. </w:t>
      </w:r>
    </w:p>
    <w:p w14:paraId="6DF1B5A7" w14:textId="6745F9BB" w:rsidR="00112D17" w:rsidRPr="00E31A39" w:rsidRDefault="00E31A39" w:rsidP="00A83E7D">
      <w:pPr>
        <w:spacing w:after="0" w:line="240" w:lineRule="auto"/>
        <w:jc w:val="both"/>
        <w:rPr>
          <w:sz w:val="24"/>
          <w:szCs w:val="24"/>
          <w:lang w:val="ru-RU"/>
        </w:rPr>
      </w:pPr>
      <w:r>
        <w:rPr>
          <w:sz w:val="24"/>
          <w:szCs w:val="24"/>
          <w:lang w:val="ru-RU"/>
        </w:rPr>
        <w:t xml:space="preserve">1 июня 2018 года исполнилось 10 лет с тех пор, как вступили в силу поправки в законе, определяющие, что автоводителям больше нет необходимости брать с собой бумажную распечатку страхового полиса и во всей Латвии начал работать единый регистр электронных полисов ОСТА. </w:t>
      </w:r>
    </w:p>
    <w:p w14:paraId="2C9F5493" w14:textId="77777777" w:rsidR="00A83E7D" w:rsidRPr="001A4C66" w:rsidRDefault="00A83E7D" w:rsidP="00A83E7D">
      <w:pPr>
        <w:spacing w:after="0" w:line="240" w:lineRule="auto"/>
        <w:jc w:val="both"/>
        <w:rPr>
          <w:sz w:val="24"/>
          <w:szCs w:val="24"/>
        </w:rPr>
      </w:pPr>
    </w:p>
    <w:p w14:paraId="1C43BEA9" w14:textId="30F031B5" w:rsidR="00E31A39" w:rsidRPr="00E31A39" w:rsidRDefault="00E31A39" w:rsidP="00C40F73">
      <w:pPr>
        <w:jc w:val="both"/>
        <w:rPr>
          <w:sz w:val="24"/>
          <w:szCs w:val="24"/>
          <w:lang w:val="ru-RU"/>
        </w:rPr>
      </w:pPr>
      <w:r>
        <w:rPr>
          <w:sz w:val="24"/>
          <w:szCs w:val="24"/>
          <w:lang w:val="ru-RU"/>
        </w:rPr>
        <w:t>С первого ноября этого года в Латвии официально разрешено регистрировать легковые автомобил</w:t>
      </w:r>
      <w:r w:rsidR="00356918">
        <w:rPr>
          <w:sz w:val="24"/>
          <w:szCs w:val="24"/>
          <w:lang w:val="ru-RU"/>
        </w:rPr>
        <w:t xml:space="preserve">и с находящимся справа рулем. Хотя нет основания считать, что эти машины станут существенной частью участников дорожного движения, страховщики указывают, что прежде, чем приобрести такой автомобиль, нужно тщательно изучить как сопряженные с оборудованием автомобиля издержки, так и возможные риски, связанные с дорожным движением. </w:t>
      </w:r>
    </w:p>
    <w:p w14:paraId="21A45634" w14:textId="57DEF089" w:rsidR="00356918" w:rsidRPr="00356918" w:rsidRDefault="00356918" w:rsidP="00C40F73">
      <w:pPr>
        <w:jc w:val="both"/>
        <w:rPr>
          <w:sz w:val="24"/>
          <w:szCs w:val="24"/>
          <w:lang w:val="ru-RU"/>
        </w:rPr>
      </w:pPr>
      <w:r w:rsidRPr="00356918">
        <w:rPr>
          <w:sz w:val="24"/>
          <w:szCs w:val="24"/>
          <w:lang w:val="ru-RU"/>
        </w:rPr>
        <w:t>Чтобы облегчить автоводителям повседневную жизнь, LTAB разработал и ввел функцию заполнения согласованного извещения в мобильн</w:t>
      </w:r>
      <w:r w:rsidR="003D42D2">
        <w:rPr>
          <w:sz w:val="24"/>
          <w:szCs w:val="24"/>
          <w:lang w:val="ru-RU"/>
        </w:rPr>
        <w:t xml:space="preserve">ом приложении </w:t>
      </w:r>
      <w:r w:rsidRPr="00356918">
        <w:rPr>
          <w:sz w:val="24"/>
          <w:szCs w:val="24"/>
          <w:lang w:val="ru-RU"/>
        </w:rPr>
        <w:t xml:space="preserve">LTAB OCTA. Новая функция позволит пострадавшим в ДТП быстро и удобно фиксировать обстоятельства аварии, указывать информацию о вовлеченных сторонах, подтверждать данные и электронно отсылать ее страховщикам. Беря во внимание, что приложение </w:t>
      </w:r>
      <w:r w:rsidRPr="00356918">
        <w:rPr>
          <w:sz w:val="24"/>
          <w:szCs w:val="24"/>
        </w:rPr>
        <w:t>LTAB OCTA</w:t>
      </w:r>
      <w:r w:rsidRPr="00356918">
        <w:rPr>
          <w:sz w:val="24"/>
          <w:szCs w:val="24"/>
          <w:lang w:val="ru-RU"/>
        </w:rPr>
        <w:t xml:space="preserve"> привязано к поддерживаемой LTAB базе данных OCTA, введение данных участниками аварии займет меньше времени, поскольку они автоматически будут включаться в протокол согласованного извещения. Кроме того, согласованное извещение обе стороны смогут подтвердить электронной подписью и это будет годно для всех страховщиков. </w:t>
      </w:r>
    </w:p>
    <w:p w14:paraId="312C7B80" w14:textId="77777777" w:rsidR="00356918" w:rsidRPr="00356918" w:rsidRDefault="00356918" w:rsidP="00356918">
      <w:pPr>
        <w:jc w:val="both"/>
        <w:rPr>
          <w:sz w:val="24"/>
          <w:szCs w:val="24"/>
        </w:rPr>
      </w:pPr>
      <w:r w:rsidRPr="00356918">
        <w:rPr>
          <w:sz w:val="24"/>
          <w:szCs w:val="24"/>
        </w:rPr>
        <w:t xml:space="preserve">В 1997 году в Латвии была введена система ОСТА, цель которой обеспечить защиту интересов третьих лиц, пострадавших в дорожном движении как в Латвии, так в странах-участницах Зеленой карты. Для обеспечения успешной деятельности системы было создано Латвийское Бюро страховщиков Транспортных средств (LTAB), которое объединяет страховые общества, </w:t>
      </w:r>
      <w:r w:rsidRPr="00356918">
        <w:rPr>
          <w:sz w:val="24"/>
          <w:szCs w:val="24"/>
        </w:rPr>
        <w:lastRenderedPageBreak/>
        <w:t>обладающие правом производить страхование ОСТА в Латвии – AAS “Balta”, AAS “Baltijas Apdrošināšanas Nams”, AAS “BTA Baltic Insurance Company”, латвийский филиал ADB “Compensa Vienna Insurance Group”, латвийский филиал SE “ERGO Insurance”, латвийский филиал ADB “Gjensidige”, латвийский филиал AS “If P&amp;C Insurance”, латвийский филиал AS “Seesam Insurance” и латвийский филиал AS “Swedbank P&amp;C Insurance”.</w:t>
      </w:r>
    </w:p>
    <w:p w14:paraId="128A9EFE" w14:textId="77777777" w:rsidR="00356918" w:rsidRDefault="00356918" w:rsidP="00356918">
      <w:pPr>
        <w:jc w:val="both"/>
      </w:pPr>
    </w:p>
    <w:p w14:paraId="6B02204E" w14:textId="77777777" w:rsidR="00356918" w:rsidRDefault="00356918" w:rsidP="00356918">
      <w:pPr>
        <w:contextualSpacing/>
        <w:jc w:val="right"/>
      </w:pPr>
      <w:r>
        <w:rPr>
          <w:i/>
          <w:iCs/>
          <w:sz w:val="20"/>
          <w:szCs w:val="20"/>
        </w:rPr>
        <w:t>Информацию подготовил:</w:t>
      </w:r>
    </w:p>
    <w:p w14:paraId="4B9E4CB7" w14:textId="77777777" w:rsidR="00356918" w:rsidRDefault="00356918" w:rsidP="00356918">
      <w:pPr>
        <w:contextualSpacing/>
        <w:jc w:val="right"/>
        <w:rPr>
          <w:i/>
          <w:iCs/>
          <w:sz w:val="20"/>
          <w:szCs w:val="20"/>
        </w:rPr>
      </w:pPr>
      <w:r>
        <w:rPr>
          <w:i/>
          <w:iCs/>
          <w:sz w:val="20"/>
          <w:szCs w:val="20"/>
        </w:rPr>
        <w:t xml:space="preserve">Консультант по связям с общественностью LTAB </w:t>
      </w:r>
    </w:p>
    <w:p w14:paraId="12F1F667" w14:textId="77777777" w:rsidR="00356918" w:rsidRDefault="00356918" w:rsidP="00356918">
      <w:pPr>
        <w:contextualSpacing/>
        <w:jc w:val="right"/>
        <w:rPr>
          <w:i/>
          <w:iCs/>
          <w:sz w:val="20"/>
          <w:szCs w:val="20"/>
        </w:rPr>
      </w:pPr>
      <w:r>
        <w:rPr>
          <w:i/>
          <w:iCs/>
          <w:sz w:val="20"/>
          <w:szCs w:val="20"/>
        </w:rPr>
        <w:t>Гинтс Лаздиньш</w:t>
      </w:r>
    </w:p>
    <w:p w14:paraId="678692CD" w14:textId="77777777" w:rsidR="00356918" w:rsidRDefault="00356918" w:rsidP="00356918">
      <w:pPr>
        <w:contextualSpacing/>
        <w:jc w:val="right"/>
        <w:rPr>
          <w:i/>
          <w:iCs/>
          <w:sz w:val="20"/>
          <w:szCs w:val="20"/>
        </w:rPr>
      </w:pPr>
      <w:r>
        <w:rPr>
          <w:i/>
          <w:iCs/>
          <w:sz w:val="20"/>
          <w:szCs w:val="20"/>
        </w:rPr>
        <w:t xml:space="preserve">Тел: +371 29442282 </w:t>
      </w:r>
    </w:p>
    <w:p w14:paraId="30BAA3F5" w14:textId="77777777" w:rsidR="00356918" w:rsidRDefault="00356918" w:rsidP="00356918">
      <w:pPr>
        <w:contextualSpacing/>
        <w:jc w:val="right"/>
        <w:rPr>
          <w:i/>
          <w:iCs/>
          <w:sz w:val="20"/>
          <w:szCs w:val="20"/>
        </w:rPr>
      </w:pPr>
      <w:r>
        <w:rPr>
          <w:i/>
          <w:iCs/>
          <w:sz w:val="20"/>
          <w:szCs w:val="20"/>
        </w:rPr>
        <w:t xml:space="preserve">Э-почта: </w:t>
      </w:r>
      <w:hyperlink r:id="rId7" w:history="1">
        <w:r>
          <w:rPr>
            <w:rStyle w:val="Hyperlink"/>
            <w:i/>
            <w:iCs/>
            <w:sz w:val="20"/>
            <w:szCs w:val="20"/>
          </w:rPr>
          <w:t>gints@olsen.lv</w:t>
        </w:r>
      </w:hyperlink>
    </w:p>
    <w:p w14:paraId="0330AD8C" w14:textId="77777777" w:rsidR="00356918" w:rsidRDefault="00356918" w:rsidP="00356918">
      <w:pPr>
        <w:spacing w:after="0" w:line="240" w:lineRule="auto"/>
        <w:jc w:val="right"/>
      </w:pPr>
    </w:p>
    <w:p w14:paraId="7D7E8888" w14:textId="77777777" w:rsidR="00356918" w:rsidRDefault="00356918" w:rsidP="00356918"/>
    <w:p w14:paraId="09E46E88" w14:textId="7BB0EDCF" w:rsidR="00617E51" w:rsidRPr="00E21F46" w:rsidRDefault="00617E51" w:rsidP="004827D3">
      <w:pPr>
        <w:spacing w:after="0" w:line="240" w:lineRule="auto"/>
        <w:jc w:val="right"/>
      </w:pPr>
    </w:p>
    <w:sectPr w:rsidR="00617E51" w:rsidRPr="00E21F46" w:rsidSect="002104A1">
      <w:headerReference w:type="default" r:id="rId8"/>
      <w:footerReference w:type="default" r:id="rId9"/>
      <w:pgSz w:w="11906" w:h="16838"/>
      <w:pgMar w:top="1178" w:right="991" w:bottom="1134" w:left="1134" w:header="426"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F29FB" w14:textId="77777777" w:rsidR="001145C8" w:rsidRDefault="001145C8" w:rsidP="00C62AF7">
      <w:pPr>
        <w:spacing w:after="0" w:line="240" w:lineRule="auto"/>
      </w:pPr>
      <w:r>
        <w:separator/>
      </w:r>
    </w:p>
  </w:endnote>
  <w:endnote w:type="continuationSeparator" w:id="0">
    <w:p w14:paraId="2BB63994" w14:textId="77777777" w:rsidR="001145C8" w:rsidRDefault="001145C8"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6E167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6.25pt;height:19.5pt">
          <v:imagedata r:id="rId1" o:title=""/>
        </v:shape>
        <o:OLEObject Type="Embed" ProgID="CorelDraw.Graphic.17" ShapeID="_x0000_i1026" DrawAspect="Content" ObjectID="_1606907408"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65CFA" w14:textId="77777777" w:rsidR="001145C8" w:rsidRDefault="001145C8" w:rsidP="00C62AF7">
      <w:pPr>
        <w:spacing w:after="0" w:line="240" w:lineRule="auto"/>
      </w:pPr>
      <w:r>
        <w:separator/>
      </w:r>
    </w:p>
  </w:footnote>
  <w:footnote w:type="continuationSeparator" w:id="0">
    <w:p w14:paraId="5498F6C1" w14:textId="77777777" w:rsidR="001145C8" w:rsidRDefault="001145C8"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55E37" w:rsidR="00E9038F" w:rsidRDefault="002104A1">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3.25pt">
          <v:imagedata r:id="rId1" o:title=""/>
        </v:shape>
        <o:OLEObject Type="Embed" ProgID="CorelDraw.Graphic.17" ShapeID="_x0000_i1025" DrawAspect="Content" ObjectID="_1606907407"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3C1F"/>
    <w:rsid w:val="000146EA"/>
    <w:rsid w:val="000211BE"/>
    <w:rsid w:val="00040165"/>
    <w:rsid w:val="00042D8B"/>
    <w:rsid w:val="000533E0"/>
    <w:rsid w:val="00057CFE"/>
    <w:rsid w:val="00070331"/>
    <w:rsid w:val="00084B6D"/>
    <w:rsid w:val="00092C8C"/>
    <w:rsid w:val="00092E79"/>
    <w:rsid w:val="00094687"/>
    <w:rsid w:val="000B1DBA"/>
    <w:rsid w:val="000C4A9E"/>
    <w:rsid w:val="00102D4A"/>
    <w:rsid w:val="00103B45"/>
    <w:rsid w:val="0011042D"/>
    <w:rsid w:val="00112D17"/>
    <w:rsid w:val="001145C8"/>
    <w:rsid w:val="00144F48"/>
    <w:rsid w:val="00153B22"/>
    <w:rsid w:val="00162149"/>
    <w:rsid w:val="00171015"/>
    <w:rsid w:val="00172BBC"/>
    <w:rsid w:val="001740B2"/>
    <w:rsid w:val="00196DE3"/>
    <w:rsid w:val="001A4C66"/>
    <w:rsid w:val="001B1813"/>
    <w:rsid w:val="001C65E0"/>
    <w:rsid w:val="001D3B28"/>
    <w:rsid w:val="001D6AEF"/>
    <w:rsid w:val="001E57C6"/>
    <w:rsid w:val="001E71BD"/>
    <w:rsid w:val="002104A1"/>
    <w:rsid w:val="00221376"/>
    <w:rsid w:val="00230126"/>
    <w:rsid w:val="00234077"/>
    <w:rsid w:val="002501E1"/>
    <w:rsid w:val="00250F1C"/>
    <w:rsid w:val="00261157"/>
    <w:rsid w:val="00266993"/>
    <w:rsid w:val="0027402E"/>
    <w:rsid w:val="00280754"/>
    <w:rsid w:val="00292A9B"/>
    <w:rsid w:val="00296F9D"/>
    <w:rsid w:val="002978D6"/>
    <w:rsid w:val="002B0D8B"/>
    <w:rsid w:val="002B572F"/>
    <w:rsid w:val="002D5F23"/>
    <w:rsid w:val="002F2970"/>
    <w:rsid w:val="002F353B"/>
    <w:rsid w:val="00332B9B"/>
    <w:rsid w:val="00340F5E"/>
    <w:rsid w:val="003425AA"/>
    <w:rsid w:val="003427E6"/>
    <w:rsid w:val="003437E1"/>
    <w:rsid w:val="003537B5"/>
    <w:rsid w:val="00356918"/>
    <w:rsid w:val="00362517"/>
    <w:rsid w:val="00382C5D"/>
    <w:rsid w:val="003924F1"/>
    <w:rsid w:val="003B1D0E"/>
    <w:rsid w:val="003B5F8E"/>
    <w:rsid w:val="003B79AF"/>
    <w:rsid w:val="003D14B9"/>
    <w:rsid w:val="003D42D2"/>
    <w:rsid w:val="003F0B61"/>
    <w:rsid w:val="0040102A"/>
    <w:rsid w:val="00403AB9"/>
    <w:rsid w:val="00412360"/>
    <w:rsid w:val="00424057"/>
    <w:rsid w:val="00434303"/>
    <w:rsid w:val="00463942"/>
    <w:rsid w:val="0046482D"/>
    <w:rsid w:val="004665D5"/>
    <w:rsid w:val="00471AE6"/>
    <w:rsid w:val="00472967"/>
    <w:rsid w:val="00482321"/>
    <w:rsid w:val="004827D3"/>
    <w:rsid w:val="004A2480"/>
    <w:rsid w:val="004C32E0"/>
    <w:rsid w:val="004D2161"/>
    <w:rsid w:val="00506CDA"/>
    <w:rsid w:val="00520799"/>
    <w:rsid w:val="00537A74"/>
    <w:rsid w:val="00590ADB"/>
    <w:rsid w:val="005B0F55"/>
    <w:rsid w:val="005B15E8"/>
    <w:rsid w:val="005C6462"/>
    <w:rsid w:val="005D03A1"/>
    <w:rsid w:val="005D5FB2"/>
    <w:rsid w:val="005D630F"/>
    <w:rsid w:val="005E1FE3"/>
    <w:rsid w:val="005E69F5"/>
    <w:rsid w:val="00601D3A"/>
    <w:rsid w:val="00603034"/>
    <w:rsid w:val="00617E51"/>
    <w:rsid w:val="0062048F"/>
    <w:rsid w:val="0062762E"/>
    <w:rsid w:val="006610B2"/>
    <w:rsid w:val="006A6493"/>
    <w:rsid w:val="006B768B"/>
    <w:rsid w:val="006E02BB"/>
    <w:rsid w:val="006E217C"/>
    <w:rsid w:val="006E75CA"/>
    <w:rsid w:val="00713F2D"/>
    <w:rsid w:val="007376C8"/>
    <w:rsid w:val="00774F20"/>
    <w:rsid w:val="00777ED2"/>
    <w:rsid w:val="00780200"/>
    <w:rsid w:val="00784272"/>
    <w:rsid w:val="00795304"/>
    <w:rsid w:val="007B675F"/>
    <w:rsid w:val="007C5ACC"/>
    <w:rsid w:val="007E77E8"/>
    <w:rsid w:val="008278BE"/>
    <w:rsid w:val="00850CCE"/>
    <w:rsid w:val="00867D74"/>
    <w:rsid w:val="00881B76"/>
    <w:rsid w:val="00896D38"/>
    <w:rsid w:val="008D1434"/>
    <w:rsid w:val="008E597E"/>
    <w:rsid w:val="00930C25"/>
    <w:rsid w:val="00932BCA"/>
    <w:rsid w:val="00936462"/>
    <w:rsid w:val="009605DD"/>
    <w:rsid w:val="00964DE9"/>
    <w:rsid w:val="00966515"/>
    <w:rsid w:val="0097040E"/>
    <w:rsid w:val="009722A2"/>
    <w:rsid w:val="00973D97"/>
    <w:rsid w:val="00983AE6"/>
    <w:rsid w:val="009847D7"/>
    <w:rsid w:val="00987FC2"/>
    <w:rsid w:val="00994F2C"/>
    <w:rsid w:val="009A4EFB"/>
    <w:rsid w:val="009B1B1A"/>
    <w:rsid w:val="009E420F"/>
    <w:rsid w:val="009F1B6D"/>
    <w:rsid w:val="00A05754"/>
    <w:rsid w:val="00A122A4"/>
    <w:rsid w:val="00A167B2"/>
    <w:rsid w:val="00A63CE0"/>
    <w:rsid w:val="00A70CDC"/>
    <w:rsid w:val="00A71459"/>
    <w:rsid w:val="00A8220C"/>
    <w:rsid w:val="00A83E7D"/>
    <w:rsid w:val="00A85B1F"/>
    <w:rsid w:val="00A90F84"/>
    <w:rsid w:val="00A916C7"/>
    <w:rsid w:val="00A9616D"/>
    <w:rsid w:val="00AA11DB"/>
    <w:rsid w:val="00AB1AE2"/>
    <w:rsid w:val="00AC5BF5"/>
    <w:rsid w:val="00AD2F7E"/>
    <w:rsid w:val="00AE1616"/>
    <w:rsid w:val="00AE3928"/>
    <w:rsid w:val="00AF4146"/>
    <w:rsid w:val="00AF7CF9"/>
    <w:rsid w:val="00B04188"/>
    <w:rsid w:val="00B100D8"/>
    <w:rsid w:val="00B31BA0"/>
    <w:rsid w:val="00B4085E"/>
    <w:rsid w:val="00B50CBA"/>
    <w:rsid w:val="00B5195D"/>
    <w:rsid w:val="00B57A8D"/>
    <w:rsid w:val="00B77BE6"/>
    <w:rsid w:val="00B9680B"/>
    <w:rsid w:val="00BB784E"/>
    <w:rsid w:val="00BC25C6"/>
    <w:rsid w:val="00BC6C58"/>
    <w:rsid w:val="00BE1131"/>
    <w:rsid w:val="00BF4CE5"/>
    <w:rsid w:val="00C12FDC"/>
    <w:rsid w:val="00C16252"/>
    <w:rsid w:val="00C40F73"/>
    <w:rsid w:val="00C42877"/>
    <w:rsid w:val="00C431CE"/>
    <w:rsid w:val="00C62AF7"/>
    <w:rsid w:val="00C80E9A"/>
    <w:rsid w:val="00C8639E"/>
    <w:rsid w:val="00C91CFB"/>
    <w:rsid w:val="00CC1D83"/>
    <w:rsid w:val="00D01223"/>
    <w:rsid w:val="00D01457"/>
    <w:rsid w:val="00D05616"/>
    <w:rsid w:val="00D05A63"/>
    <w:rsid w:val="00D118C1"/>
    <w:rsid w:val="00D347A9"/>
    <w:rsid w:val="00D356F9"/>
    <w:rsid w:val="00D64013"/>
    <w:rsid w:val="00D64EA4"/>
    <w:rsid w:val="00D925B4"/>
    <w:rsid w:val="00DB4A01"/>
    <w:rsid w:val="00E21F46"/>
    <w:rsid w:val="00E23A71"/>
    <w:rsid w:val="00E31A39"/>
    <w:rsid w:val="00E31CDC"/>
    <w:rsid w:val="00E537C3"/>
    <w:rsid w:val="00E6367A"/>
    <w:rsid w:val="00E730A3"/>
    <w:rsid w:val="00E8391D"/>
    <w:rsid w:val="00E9038F"/>
    <w:rsid w:val="00E91AD3"/>
    <w:rsid w:val="00EA42C0"/>
    <w:rsid w:val="00EC046F"/>
    <w:rsid w:val="00EC201D"/>
    <w:rsid w:val="00EC50B3"/>
    <w:rsid w:val="00F1514F"/>
    <w:rsid w:val="00F16ADC"/>
    <w:rsid w:val="00F2284B"/>
    <w:rsid w:val="00F3262F"/>
    <w:rsid w:val="00F50FC6"/>
    <w:rsid w:val="00F60868"/>
    <w:rsid w:val="00F72968"/>
    <w:rsid w:val="00F920A2"/>
    <w:rsid w:val="00F93E1C"/>
    <w:rsid w:val="00FA6EED"/>
    <w:rsid w:val="00FB2D15"/>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042033A"/>
  <w15:docId w15:val="{CF0BF4DC-E0BC-477C-AC67-69784C1A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653395">
      <w:bodyDiv w:val="1"/>
      <w:marLeft w:val="0"/>
      <w:marRight w:val="0"/>
      <w:marTop w:val="0"/>
      <w:marBottom w:val="0"/>
      <w:divBdr>
        <w:top w:val="none" w:sz="0" w:space="0" w:color="auto"/>
        <w:left w:val="none" w:sz="0" w:space="0" w:color="auto"/>
        <w:bottom w:val="none" w:sz="0" w:space="0" w:color="auto"/>
        <w:right w:val="none" w:sz="0" w:space="0" w:color="auto"/>
      </w:divBdr>
    </w:div>
    <w:div w:id="1520042667">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nts@olsen.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450FC-0A7D-4294-88E7-A6014813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2243</Words>
  <Characters>1280</Characters>
  <Application>Microsoft Office Word</Application>
  <DocSecurity>4</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2018-12-21T12:22:00Z</dcterms:created>
  <dcterms:modified xsi:type="dcterms:W3CDTF">2018-12-21T12:22:00Z</dcterms:modified>
</cp:coreProperties>
</file>