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74F2B1B9" w:rsidR="00E21F46" w:rsidRPr="0063036D" w:rsidRDefault="00E21F46" w:rsidP="00E21F46">
      <w:pPr>
        <w:spacing w:after="0" w:line="240" w:lineRule="auto"/>
        <w:jc w:val="right"/>
        <w:rPr>
          <w:sz w:val="20"/>
          <w:szCs w:val="20"/>
        </w:rPr>
      </w:pPr>
      <w:bookmarkStart w:id="0" w:name="_Hlk504469613"/>
      <w:r w:rsidRPr="0063036D">
        <w:rPr>
          <w:sz w:val="20"/>
          <w:szCs w:val="20"/>
        </w:rPr>
        <w:t xml:space="preserve">Informācija </w:t>
      </w:r>
      <w:r w:rsidR="0063036D">
        <w:rPr>
          <w:sz w:val="20"/>
          <w:szCs w:val="20"/>
        </w:rPr>
        <w:t>masu medijiem</w:t>
      </w:r>
    </w:p>
    <w:p w14:paraId="755FEFD0" w14:textId="0132BB50" w:rsidR="00E21F46" w:rsidRPr="0063036D" w:rsidRDefault="00E859E6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 w:rsidR="009D0A59">
        <w:rPr>
          <w:sz w:val="20"/>
          <w:szCs w:val="20"/>
        </w:rPr>
        <w:t>4</w:t>
      </w:r>
      <w:r w:rsidR="00162149" w:rsidRPr="0063036D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5F0106E" w14:textId="12FB4B2F" w:rsidR="00E21F46" w:rsidRPr="009D0A59" w:rsidRDefault="009D0A59" w:rsidP="00261157">
      <w:pPr>
        <w:rPr>
          <w:b/>
          <w:sz w:val="28"/>
          <w:szCs w:val="28"/>
        </w:rPr>
      </w:pPr>
      <w:r w:rsidRPr="009D0A59">
        <w:rPr>
          <w:b/>
          <w:sz w:val="28"/>
          <w:szCs w:val="28"/>
        </w:rPr>
        <w:t xml:space="preserve">LTAB aicina motobraucējus </w:t>
      </w:r>
      <w:r w:rsidR="00150FAA">
        <w:rPr>
          <w:b/>
          <w:sz w:val="28"/>
          <w:szCs w:val="28"/>
        </w:rPr>
        <w:t xml:space="preserve">būt uzmanīgiem uz ceļa un </w:t>
      </w:r>
      <w:r w:rsidRPr="009D0A59">
        <w:rPr>
          <w:b/>
          <w:sz w:val="28"/>
          <w:szCs w:val="28"/>
        </w:rPr>
        <w:t>laicīgi iegādāties OCTA</w:t>
      </w:r>
    </w:p>
    <w:p w14:paraId="4360FA49" w14:textId="39732AD6" w:rsidR="00C57A0D" w:rsidRPr="00E859E6" w:rsidRDefault="00E859E6" w:rsidP="004D3D2B">
      <w:pPr>
        <w:jc w:val="both"/>
        <w:rPr>
          <w:b/>
          <w:sz w:val="24"/>
          <w:szCs w:val="24"/>
        </w:rPr>
      </w:pPr>
      <w:bookmarkStart w:id="1" w:name="_GoBack"/>
      <w:r w:rsidRPr="00E859E6">
        <w:rPr>
          <w:b/>
          <w:sz w:val="24"/>
          <w:szCs w:val="24"/>
        </w:rPr>
        <w:t xml:space="preserve">Lai arī oficiālā motosezonas atklāšana šogad ieplānota 25.aprīlī, salīdzinoši siltie laikapstākļi sekmējuši to, ka jau aprīļa sākumā uz Latvijas ceļiem parādījušies pirmie motobraucēji. </w:t>
      </w:r>
      <w:r w:rsidR="00C93AB0" w:rsidRPr="00E859E6">
        <w:rPr>
          <w:b/>
          <w:sz w:val="24"/>
          <w:szCs w:val="24"/>
        </w:rPr>
        <w:t>Latvijas transportlīdzekļu apdrošinātāju biroj</w:t>
      </w:r>
      <w:r w:rsidR="009D0A59" w:rsidRPr="00E859E6">
        <w:rPr>
          <w:b/>
          <w:sz w:val="24"/>
          <w:szCs w:val="24"/>
        </w:rPr>
        <w:t>s</w:t>
      </w:r>
      <w:r w:rsidR="00C93AB0" w:rsidRPr="00E859E6">
        <w:rPr>
          <w:b/>
          <w:sz w:val="24"/>
          <w:szCs w:val="24"/>
        </w:rPr>
        <w:t xml:space="preserve"> (turpmāk – LTAB</w:t>
      </w:r>
      <w:r w:rsidR="00DB74AC" w:rsidRPr="00E859E6">
        <w:rPr>
          <w:b/>
          <w:sz w:val="24"/>
          <w:szCs w:val="24"/>
        </w:rPr>
        <w:t xml:space="preserve">) </w:t>
      </w:r>
      <w:r w:rsidR="009D0A59" w:rsidRPr="00E859E6">
        <w:rPr>
          <w:b/>
          <w:sz w:val="24"/>
          <w:szCs w:val="24"/>
        </w:rPr>
        <w:t>aicina motobraucējus savlaicīgi iegādāties OCTA, lai pasargātu sevi un citus satiksmes dalībniekus no nevajadzīgām likstām un tēriņiem, kas var rasties CSNg rezultātā</w:t>
      </w:r>
      <w:r w:rsidR="00DB74AC" w:rsidRPr="00E859E6">
        <w:rPr>
          <w:b/>
          <w:sz w:val="24"/>
          <w:szCs w:val="24"/>
        </w:rPr>
        <w:t>.</w:t>
      </w:r>
    </w:p>
    <w:bookmarkEnd w:id="1"/>
    <w:p w14:paraId="7F6AE818" w14:textId="77777777" w:rsidR="0044400F" w:rsidRDefault="009D0A59" w:rsidP="00DB74AC">
      <w:pPr>
        <w:spacing w:after="0" w:line="240" w:lineRule="auto"/>
        <w:jc w:val="both"/>
        <w:rPr>
          <w:sz w:val="24"/>
          <w:szCs w:val="24"/>
        </w:rPr>
      </w:pPr>
      <w:r w:rsidRPr="00E859E6">
        <w:rPr>
          <w:sz w:val="24"/>
          <w:szCs w:val="24"/>
        </w:rPr>
        <w:t xml:space="preserve">Pagājušajā gadā apdrošinātājiem pieteikti </w:t>
      </w:r>
      <w:r w:rsidR="00E859E6">
        <w:rPr>
          <w:sz w:val="24"/>
          <w:szCs w:val="24"/>
        </w:rPr>
        <w:t>544</w:t>
      </w:r>
      <w:r w:rsidRPr="00E859E6">
        <w:rPr>
          <w:sz w:val="24"/>
          <w:szCs w:val="24"/>
        </w:rPr>
        <w:t xml:space="preserve"> CSNg, kuros bijis iesaistīts mototransporta līdzeklis</w:t>
      </w:r>
      <w:r w:rsidR="00E859E6">
        <w:rPr>
          <w:sz w:val="24"/>
          <w:szCs w:val="24"/>
        </w:rPr>
        <w:t>, kas ir par gandrīz piektdaļu vairāk nekā 2017.gadā (433)</w:t>
      </w:r>
      <w:r w:rsidRPr="00E859E6">
        <w:rPr>
          <w:sz w:val="24"/>
          <w:szCs w:val="24"/>
        </w:rPr>
        <w:t>. No tiem 2</w:t>
      </w:r>
      <w:r w:rsidR="00E859E6">
        <w:rPr>
          <w:sz w:val="24"/>
          <w:szCs w:val="24"/>
        </w:rPr>
        <w:t>64</w:t>
      </w:r>
      <w:r w:rsidRPr="00E859E6">
        <w:rPr>
          <w:sz w:val="24"/>
          <w:szCs w:val="24"/>
        </w:rPr>
        <w:t xml:space="preserve"> gadījumos mototransportlīdzekļa vadītājs bijis CSNg izraisītājs, bet 2</w:t>
      </w:r>
      <w:r w:rsidR="00E859E6">
        <w:rPr>
          <w:sz w:val="24"/>
          <w:szCs w:val="24"/>
        </w:rPr>
        <w:t>80</w:t>
      </w:r>
      <w:r w:rsidRPr="00E859E6">
        <w:rPr>
          <w:sz w:val="24"/>
          <w:szCs w:val="24"/>
        </w:rPr>
        <w:t xml:space="preserve"> gadījumos – cietušais. </w:t>
      </w:r>
    </w:p>
    <w:p w14:paraId="775E6B23" w14:textId="77777777" w:rsidR="0044400F" w:rsidRDefault="0044400F" w:rsidP="00DB74AC">
      <w:pPr>
        <w:spacing w:after="0" w:line="240" w:lineRule="auto"/>
        <w:jc w:val="both"/>
        <w:rPr>
          <w:sz w:val="24"/>
          <w:szCs w:val="24"/>
        </w:rPr>
      </w:pPr>
    </w:p>
    <w:p w14:paraId="7938EE44" w14:textId="4D201414" w:rsidR="009D0A59" w:rsidRPr="00E859E6" w:rsidRDefault="00E859E6" w:rsidP="00DB74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Pēdējo trīs gadu statistika liecina, ka motobraucēji biežāk ir CSNg cietušie, nevis izraisītāji.</w:t>
      </w:r>
      <w:r w:rsidR="0044400F">
        <w:rPr>
          <w:sz w:val="24"/>
          <w:szCs w:val="24"/>
        </w:rPr>
        <w:t xml:space="preserve"> Turklāt vidējā atlīdzība par CSNg, kurā bijis iesaistīts mototransportlīdzeklis arī norāda, ka motobraucēji </w:t>
      </w:r>
      <w:r w:rsidR="00EA2A77">
        <w:rPr>
          <w:sz w:val="24"/>
          <w:szCs w:val="24"/>
        </w:rPr>
        <w:t>parasti cieš lielākus zaudējumus</w:t>
      </w:r>
      <w:r w:rsidR="0044400F">
        <w:rPr>
          <w:sz w:val="24"/>
          <w:szCs w:val="24"/>
        </w:rPr>
        <w:t xml:space="preserve"> nekā četru riteņu spēkrati. Tā vidējā atlīdzība par motobraucēj</w:t>
      </w:r>
      <w:r w:rsidR="00DF3EA7">
        <w:rPr>
          <w:sz w:val="24"/>
          <w:szCs w:val="24"/>
        </w:rPr>
        <w:t>u</w:t>
      </w:r>
      <w:r w:rsidR="0044400F">
        <w:rPr>
          <w:sz w:val="24"/>
          <w:szCs w:val="24"/>
        </w:rPr>
        <w:t xml:space="preserve"> izraisīt</w:t>
      </w:r>
      <w:r w:rsidR="00DF3EA7">
        <w:rPr>
          <w:sz w:val="24"/>
          <w:szCs w:val="24"/>
        </w:rPr>
        <w:t>ajiem</w:t>
      </w:r>
      <w:r w:rsidR="0044400F">
        <w:rPr>
          <w:sz w:val="24"/>
          <w:szCs w:val="24"/>
        </w:rPr>
        <w:t xml:space="preserve"> CSNg pērn </w:t>
      </w:r>
      <w:r w:rsidR="00DF3EA7">
        <w:rPr>
          <w:sz w:val="24"/>
          <w:szCs w:val="24"/>
        </w:rPr>
        <w:t xml:space="preserve">bija </w:t>
      </w:r>
      <w:r w:rsidR="0044400F">
        <w:rPr>
          <w:sz w:val="24"/>
          <w:szCs w:val="24"/>
        </w:rPr>
        <w:t>629,60 EUR, bet par negadījumu, kurā motobraucēj</w:t>
      </w:r>
      <w:r w:rsidR="00DF3EA7">
        <w:rPr>
          <w:sz w:val="24"/>
          <w:szCs w:val="24"/>
        </w:rPr>
        <w:t>i</w:t>
      </w:r>
      <w:r w:rsidR="0044400F">
        <w:rPr>
          <w:sz w:val="24"/>
          <w:szCs w:val="24"/>
        </w:rPr>
        <w:t xml:space="preserve"> bij</w:t>
      </w:r>
      <w:r w:rsidR="00DF3EA7">
        <w:rPr>
          <w:sz w:val="24"/>
          <w:szCs w:val="24"/>
        </w:rPr>
        <w:t>a kā</w:t>
      </w:r>
      <w:r w:rsidR="0044400F">
        <w:rPr>
          <w:sz w:val="24"/>
          <w:szCs w:val="24"/>
        </w:rPr>
        <w:t xml:space="preserve"> cietuš</w:t>
      </w:r>
      <w:r w:rsidR="00DF3EA7">
        <w:rPr>
          <w:sz w:val="24"/>
          <w:szCs w:val="24"/>
        </w:rPr>
        <w:t>ie</w:t>
      </w:r>
      <w:r w:rsidR="0044400F">
        <w:rPr>
          <w:sz w:val="24"/>
          <w:szCs w:val="24"/>
        </w:rPr>
        <w:t xml:space="preserve"> – 1262,38 EUR.</w:t>
      </w:r>
    </w:p>
    <w:p w14:paraId="0756DC02" w14:textId="77777777" w:rsidR="00F12810" w:rsidRPr="00E859E6" w:rsidRDefault="00F12810" w:rsidP="00DB74AC">
      <w:pPr>
        <w:spacing w:after="0" w:line="240" w:lineRule="auto"/>
        <w:jc w:val="both"/>
        <w:rPr>
          <w:sz w:val="24"/>
          <w:szCs w:val="24"/>
        </w:rPr>
      </w:pPr>
    </w:p>
    <w:p w14:paraId="69A3E255" w14:textId="78B5A3B6" w:rsidR="00150FAA" w:rsidRPr="00E859E6" w:rsidRDefault="00150FAA" w:rsidP="00DB74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Pagājušajā gadā lielākā atlīdzība, kas izmaksāta par CSNg, ko izraisījis motobraucējs ir 16306,76 EUR. Savukārt vēsturiski lielākā atlīdzība par motorizētā divriteņu spēkrata vadītāja izraisītu negadījumu ir </w:t>
      </w:r>
      <w:r w:rsidRPr="00150FAA">
        <w:rPr>
          <w:sz w:val="24"/>
          <w:szCs w:val="24"/>
        </w:rPr>
        <w:t>23935</w:t>
      </w:r>
      <w:r>
        <w:rPr>
          <w:sz w:val="24"/>
          <w:szCs w:val="24"/>
        </w:rPr>
        <w:t>,</w:t>
      </w:r>
      <w:r w:rsidRPr="00150FAA">
        <w:rPr>
          <w:sz w:val="24"/>
          <w:szCs w:val="24"/>
        </w:rPr>
        <w:t>91</w:t>
      </w:r>
      <w:r>
        <w:rPr>
          <w:sz w:val="24"/>
          <w:szCs w:val="24"/>
        </w:rPr>
        <w:t xml:space="preserve"> EUR.</w:t>
      </w:r>
    </w:p>
    <w:p w14:paraId="2E52B5F5" w14:textId="7C72282B" w:rsidR="003215C1" w:rsidRDefault="003215C1" w:rsidP="00DB74AC">
      <w:pPr>
        <w:spacing w:after="0" w:line="240" w:lineRule="auto"/>
        <w:jc w:val="both"/>
        <w:rPr>
          <w:sz w:val="21"/>
          <w:szCs w:val="21"/>
        </w:rPr>
      </w:pPr>
    </w:p>
    <w:bookmarkEnd w:id="0"/>
    <w:p w14:paraId="273CCA09" w14:textId="77777777" w:rsidR="00150FAA" w:rsidRPr="00150FAA" w:rsidRDefault="00150FAA" w:rsidP="00150FAA">
      <w:pPr>
        <w:spacing w:after="0" w:line="240" w:lineRule="auto"/>
        <w:jc w:val="both"/>
        <w:rPr>
          <w:sz w:val="24"/>
          <w:szCs w:val="24"/>
        </w:rPr>
      </w:pPr>
      <w:r w:rsidRPr="00150FAA">
        <w:rPr>
          <w:sz w:val="24"/>
          <w:szCs w:val="24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150FAA">
        <w:rPr>
          <w:sz w:val="24"/>
          <w:szCs w:val="24"/>
        </w:rPr>
        <w:t>Baltic</w:t>
      </w:r>
      <w:proofErr w:type="spellEnd"/>
      <w:r w:rsidRPr="00150FAA">
        <w:rPr>
          <w:sz w:val="24"/>
          <w:szCs w:val="24"/>
        </w:rPr>
        <w:t xml:space="preserve"> </w:t>
      </w:r>
      <w:proofErr w:type="spellStart"/>
      <w:r w:rsidRPr="00150FAA">
        <w:rPr>
          <w:sz w:val="24"/>
          <w:szCs w:val="24"/>
        </w:rPr>
        <w:t>Insurance</w:t>
      </w:r>
      <w:proofErr w:type="spellEnd"/>
      <w:r w:rsidRPr="00150FAA">
        <w:rPr>
          <w:sz w:val="24"/>
          <w:szCs w:val="24"/>
        </w:rPr>
        <w:t xml:space="preserve"> </w:t>
      </w:r>
      <w:proofErr w:type="spellStart"/>
      <w:r w:rsidRPr="00150FAA">
        <w:rPr>
          <w:sz w:val="24"/>
          <w:szCs w:val="24"/>
        </w:rPr>
        <w:t>Company</w:t>
      </w:r>
      <w:proofErr w:type="spellEnd"/>
      <w:r w:rsidRPr="00150FAA">
        <w:rPr>
          <w:sz w:val="24"/>
          <w:szCs w:val="24"/>
        </w:rPr>
        <w:t>”, “</w:t>
      </w:r>
      <w:proofErr w:type="spellStart"/>
      <w:r w:rsidRPr="00150FAA">
        <w:rPr>
          <w:sz w:val="24"/>
          <w:szCs w:val="24"/>
        </w:rPr>
        <w:t>Compensa</w:t>
      </w:r>
      <w:proofErr w:type="spellEnd"/>
      <w:r w:rsidRPr="00150FAA">
        <w:rPr>
          <w:sz w:val="24"/>
          <w:szCs w:val="24"/>
        </w:rPr>
        <w:t xml:space="preserve"> </w:t>
      </w:r>
      <w:proofErr w:type="spellStart"/>
      <w:r w:rsidRPr="00150FAA">
        <w:rPr>
          <w:sz w:val="24"/>
          <w:szCs w:val="24"/>
        </w:rPr>
        <w:t>Vienna</w:t>
      </w:r>
      <w:proofErr w:type="spellEnd"/>
      <w:r w:rsidRPr="00150FAA">
        <w:rPr>
          <w:sz w:val="24"/>
          <w:szCs w:val="24"/>
        </w:rPr>
        <w:t xml:space="preserve"> </w:t>
      </w:r>
      <w:proofErr w:type="spellStart"/>
      <w:r w:rsidRPr="00150FAA">
        <w:rPr>
          <w:sz w:val="24"/>
          <w:szCs w:val="24"/>
        </w:rPr>
        <w:t>Insurance</w:t>
      </w:r>
      <w:proofErr w:type="spellEnd"/>
      <w:r w:rsidRPr="00150FAA">
        <w:rPr>
          <w:sz w:val="24"/>
          <w:szCs w:val="24"/>
        </w:rPr>
        <w:t xml:space="preserve"> </w:t>
      </w:r>
      <w:proofErr w:type="spellStart"/>
      <w:r w:rsidRPr="00150FAA">
        <w:rPr>
          <w:sz w:val="24"/>
          <w:szCs w:val="24"/>
        </w:rPr>
        <w:t>Group</w:t>
      </w:r>
      <w:proofErr w:type="spellEnd"/>
      <w:r w:rsidRPr="00150FAA">
        <w:rPr>
          <w:sz w:val="24"/>
          <w:szCs w:val="24"/>
        </w:rPr>
        <w:t>” ADB Latvijas filiāle, “ERGO Insurance” SE Latvijas filiāle, ADB “</w:t>
      </w:r>
      <w:proofErr w:type="spellStart"/>
      <w:r w:rsidRPr="00150FAA">
        <w:rPr>
          <w:sz w:val="24"/>
          <w:szCs w:val="24"/>
        </w:rPr>
        <w:t>Gjensidige</w:t>
      </w:r>
      <w:proofErr w:type="spellEnd"/>
      <w:r w:rsidRPr="00150FAA">
        <w:rPr>
          <w:sz w:val="24"/>
          <w:szCs w:val="24"/>
        </w:rPr>
        <w:t>” Latvijas filiāle, “</w:t>
      </w:r>
      <w:proofErr w:type="spellStart"/>
      <w:r w:rsidRPr="00150FAA">
        <w:rPr>
          <w:sz w:val="24"/>
          <w:szCs w:val="24"/>
        </w:rPr>
        <w:t>If</w:t>
      </w:r>
      <w:proofErr w:type="spellEnd"/>
      <w:r w:rsidRPr="00150FAA">
        <w:rPr>
          <w:sz w:val="24"/>
          <w:szCs w:val="24"/>
        </w:rPr>
        <w:t xml:space="preserve"> P&amp;C Insurance” AS Latvijas filiāle, “</w:t>
      </w:r>
      <w:proofErr w:type="spellStart"/>
      <w:r w:rsidRPr="00150FAA">
        <w:rPr>
          <w:sz w:val="24"/>
          <w:szCs w:val="24"/>
        </w:rPr>
        <w:t>Seesam</w:t>
      </w:r>
      <w:proofErr w:type="spellEnd"/>
      <w:r w:rsidRPr="00150FAA">
        <w:rPr>
          <w:sz w:val="24"/>
          <w:szCs w:val="24"/>
        </w:rPr>
        <w:t xml:space="preserve"> </w:t>
      </w:r>
      <w:proofErr w:type="spellStart"/>
      <w:r w:rsidRPr="00150FAA">
        <w:rPr>
          <w:sz w:val="24"/>
          <w:szCs w:val="24"/>
        </w:rPr>
        <w:t>Insurance</w:t>
      </w:r>
      <w:proofErr w:type="spellEnd"/>
      <w:r w:rsidRPr="00150FAA">
        <w:rPr>
          <w:sz w:val="24"/>
          <w:szCs w:val="24"/>
        </w:rPr>
        <w:t>” AS Latvijas filiāle un “Swedbank P&amp;C Insurance” AS Latvijas filiāle.</w:t>
      </w:r>
    </w:p>
    <w:p w14:paraId="621F8C0A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</w:p>
    <w:p w14:paraId="6F4C547D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r w:rsidRPr="00150FAA">
        <w:rPr>
          <w:i/>
          <w:sz w:val="24"/>
          <w:szCs w:val="24"/>
        </w:rPr>
        <w:t xml:space="preserve">Informāciju sagatavoja: </w:t>
      </w:r>
    </w:p>
    <w:p w14:paraId="5E523F16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r w:rsidRPr="00150FAA">
        <w:rPr>
          <w:i/>
          <w:sz w:val="24"/>
          <w:szCs w:val="24"/>
        </w:rPr>
        <w:t>LTAB sabiedrisko attiecību konsultants</w:t>
      </w:r>
    </w:p>
    <w:p w14:paraId="144B1C9E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r w:rsidRPr="00150FAA">
        <w:rPr>
          <w:i/>
          <w:sz w:val="24"/>
          <w:szCs w:val="24"/>
        </w:rPr>
        <w:t>Gints Lazdiņš</w:t>
      </w:r>
    </w:p>
    <w:p w14:paraId="209582E9" w14:textId="77777777" w:rsidR="00150FAA" w:rsidRPr="00150FAA" w:rsidRDefault="00150FAA" w:rsidP="00150FAA">
      <w:pPr>
        <w:spacing w:after="0" w:line="240" w:lineRule="auto"/>
        <w:jc w:val="right"/>
        <w:rPr>
          <w:i/>
          <w:sz w:val="24"/>
          <w:szCs w:val="24"/>
        </w:rPr>
      </w:pPr>
      <w:proofErr w:type="spellStart"/>
      <w:r w:rsidRPr="00150FAA">
        <w:rPr>
          <w:i/>
          <w:sz w:val="24"/>
          <w:szCs w:val="24"/>
        </w:rPr>
        <w:t>Tālr</w:t>
      </w:r>
      <w:proofErr w:type="spellEnd"/>
      <w:r w:rsidRPr="00150FAA">
        <w:rPr>
          <w:i/>
          <w:sz w:val="24"/>
          <w:szCs w:val="24"/>
        </w:rPr>
        <w:t xml:space="preserve">: +371 29442282 </w:t>
      </w:r>
    </w:p>
    <w:p w14:paraId="22CBF040" w14:textId="77777777" w:rsidR="00150FAA" w:rsidRPr="00150FAA" w:rsidRDefault="00150FAA" w:rsidP="00150FAA">
      <w:pPr>
        <w:spacing w:after="0" w:line="240" w:lineRule="auto"/>
        <w:jc w:val="right"/>
        <w:rPr>
          <w:sz w:val="24"/>
          <w:szCs w:val="24"/>
        </w:rPr>
      </w:pPr>
      <w:r w:rsidRPr="00150FAA">
        <w:rPr>
          <w:i/>
          <w:sz w:val="24"/>
          <w:szCs w:val="24"/>
        </w:rPr>
        <w:t>E-pasts: gints@olsen.lv</w:t>
      </w:r>
    </w:p>
    <w:p w14:paraId="09E46E88" w14:textId="3836BEA6" w:rsidR="00617E51" w:rsidRPr="0063036D" w:rsidRDefault="00617E51" w:rsidP="00150FAA">
      <w:pPr>
        <w:spacing w:after="0" w:line="240" w:lineRule="auto"/>
        <w:jc w:val="both"/>
        <w:rPr>
          <w:sz w:val="16"/>
          <w:szCs w:val="16"/>
        </w:rPr>
      </w:pPr>
    </w:p>
    <w:sectPr w:rsidR="00617E51" w:rsidRPr="0063036D" w:rsidSect="00E859E6">
      <w:headerReference w:type="default" r:id="rId7"/>
      <w:footerReference w:type="default" r:id="rId8"/>
      <w:pgSz w:w="11906" w:h="16838"/>
      <w:pgMar w:top="1178" w:right="1274" w:bottom="993" w:left="1276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1C9A8" w14:textId="77777777" w:rsidR="00440E51" w:rsidRDefault="00440E51" w:rsidP="00C62AF7">
      <w:pPr>
        <w:spacing w:after="0" w:line="240" w:lineRule="auto"/>
      </w:pPr>
      <w:r>
        <w:separator/>
      </w:r>
    </w:p>
  </w:endnote>
  <w:endnote w:type="continuationSeparator" w:id="0">
    <w:p w14:paraId="17D9FB7C" w14:textId="77777777" w:rsidR="00440E51" w:rsidRDefault="00440E51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922D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20.25pt">
          <v:imagedata r:id="rId1" o:title=""/>
        </v:shape>
        <o:OLEObject Type="Embed" ProgID="CorelDraw.Graphic.17" ShapeID="_x0000_i1026" DrawAspect="Content" ObjectID="_1617516496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6DDB7" w14:textId="77777777" w:rsidR="00440E51" w:rsidRDefault="00440E51" w:rsidP="00C62AF7">
      <w:pPr>
        <w:spacing w:after="0" w:line="240" w:lineRule="auto"/>
      </w:pPr>
      <w:r>
        <w:separator/>
      </w:r>
    </w:p>
  </w:footnote>
  <w:footnote w:type="continuationSeparator" w:id="0">
    <w:p w14:paraId="05355920" w14:textId="77777777" w:rsidR="00440E51" w:rsidRDefault="00440E51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3.25pt">
          <v:imagedata r:id="rId1" o:title=""/>
        </v:shape>
        <o:OLEObject Type="Embed" ProgID="CorelDraw.Graphic.17" ShapeID="_x0000_i1025" DrawAspect="Content" ObjectID="_1617516495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95CC7"/>
    <w:rsid w:val="000A4262"/>
    <w:rsid w:val="000B1DBA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916D3"/>
    <w:rsid w:val="002978D6"/>
    <w:rsid w:val="002B0D8B"/>
    <w:rsid w:val="002D5F23"/>
    <w:rsid w:val="002F353B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93F4C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B0F55"/>
    <w:rsid w:val="005B15E8"/>
    <w:rsid w:val="005B5E63"/>
    <w:rsid w:val="005C0769"/>
    <w:rsid w:val="005D5FB2"/>
    <w:rsid w:val="005E1FE3"/>
    <w:rsid w:val="005E69F5"/>
    <w:rsid w:val="00617E51"/>
    <w:rsid w:val="0063036D"/>
    <w:rsid w:val="00660902"/>
    <w:rsid w:val="006610B2"/>
    <w:rsid w:val="0067737E"/>
    <w:rsid w:val="006A55FE"/>
    <w:rsid w:val="006A6493"/>
    <w:rsid w:val="006B768B"/>
    <w:rsid w:val="006C4F73"/>
    <w:rsid w:val="006E02BB"/>
    <w:rsid w:val="006E217C"/>
    <w:rsid w:val="006E75CA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E77E8"/>
    <w:rsid w:val="008278BE"/>
    <w:rsid w:val="00850CCE"/>
    <w:rsid w:val="00867D74"/>
    <w:rsid w:val="00881B76"/>
    <w:rsid w:val="008A65AA"/>
    <w:rsid w:val="008D1434"/>
    <w:rsid w:val="008D7575"/>
    <w:rsid w:val="009124FD"/>
    <w:rsid w:val="00931185"/>
    <w:rsid w:val="00935173"/>
    <w:rsid w:val="00936462"/>
    <w:rsid w:val="00941CB7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B284C"/>
    <w:rsid w:val="009B6953"/>
    <w:rsid w:val="009D0A59"/>
    <w:rsid w:val="00A122A4"/>
    <w:rsid w:val="00A167B2"/>
    <w:rsid w:val="00A32115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7697"/>
    <w:rsid w:val="00B100D8"/>
    <w:rsid w:val="00B11197"/>
    <w:rsid w:val="00B3136B"/>
    <w:rsid w:val="00B31BA0"/>
    <w:rsid w:val="00B50CBA"/>
    <w:rsid w:val="00B5195D"/>
    <w:rsid w:val="00B57A8D"/>
    <w:rsid w:val="00BB784E"/>
    <w:rsid w:val="00BC25C6"/>
    <w:rsid w:val="00BC582F"/>
    <w:rsid w:val="00BC6C58"/>
    <w:rsid w:val="00BD277F"/>
    <w:rsid w:val="00BE1131"/>
    <w:rsid w:val="00BF4CE5"/>
    <w:rsid w:val="00C04EF0"/>
    <w:rsid w:val="00C12FDC"/>
    <w:rsid w:val="00C42877"/>
    <w:rsid w:val="00C57A0D"/>
    <w:rsid w:val="00C62AF7"/>
    <w:rsid w:val="00C62D79"/>
    <w:rsid w:val="00C73C51"/>
    <w:rsid w:val="00C80E9A"/>
    <w:rsid w:val="00C91CFB"/>
    <w:rsid w:val="00C93AB0"/>
    <w:rsid w:val="00CC1D83"/>
    <w:rsid w:val="00D01223"/>
    <w:rsid w:val="00D01457"/>
    <w:rsid w:val="00D05616"/>
    <w:rsid w:val="00D05A63"/>
    <w:rsid w:val="00D34E4A"/>
    <w:rsid w:val="00D356F9"/>
    <w:rsid w:val="00D64814"/>
    <w:rsid w:val="00D8058A"/>
    <w:rsid w:val="00DB74AC"/>
    <w:rsid w:val="00DD7C40"/>
    <w:rsid w:val="00DF3EA7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730A3"/>
    <w:rsid w:val="00E8391D"/>
    <w:rsid w:val="00E859E6"/>
    <w:rsid w:val="00E9038F"/>
    <w:rsid w:val="00E914E5"/>
    <w:rsid w:val="00E91AD3"/>
    <w:rsid w:val="00EA2A77"/>
    <w:rsid w:val="00EA42C0"/>
    <w:rsid w:val="00EC201D"/>
    <w:rsid w:val="00EC3E3F"/>
    <w:rsid w:val="00EC50B3"/>
    <w:rsid w:val="00EF1BCF"/>
    <w:rsid w:val="00F06838"/>
    <w:rsid w:val="00F12810"/>
    <w:rsid w:val="00F1514F"/>
    <w:rsid w:val="00F16ADC"/>
    <w:rsid w:val="00F172DF"/>
    <w:rsid w:val="00F2284B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6524-5499-4C4E-AB61-52347E86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727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2019-04-23T06:22:00Z</dcterms:created>
  <dcterms:modified xsi:type="dcterms:W3CDTF">2019-04-23T06:22:00Z</dcterms:modified>
</cp:coreProperties>
</file>