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77777777" w:rsidR="00B44512" w:rsidRPr="00672E43" w:rsidRDefault="00B44512" w:rsidP="005E4497">
      <w:pPr>
        <w:spacing w:after="0" w:line="240" w:lineRule="auto"/>
        <w:jc w:val="right"/>
        <w:rPr>
          <w:b/>
          <w:lang w:val="lv-LV"/>
        </w:rPr>
      </w:pPr>
      <w:r w:rsidRPr="00672E43">
        <w:rPr>
          <w:b/>
          <w:lang w:val="lv-LV"/>
        </w:rPr>
        <w:t>Paziņojums masu medijiem</w:t>
      </w:r>
    </w:p>
    <w:p w14:paraId="50188D1F" w14:textId="78DDE038" w:rsidR="00B44512" w:rsidRPr="00672E43" w:rsidRDefault="00B045BB" w:rsidP="00B44512">
      <w:pPr>
        <w:spacing w:after="0" w:line="240" w:lineRule="auto"/>
        <w:jc w:val="right"/>
        <w:rPr>
          <w:b/>
          <w:lang w:val="lv-LV"/>
        </w:rPr>
      </w:pPr>
      <w:r w:rsidRPr="00672E43">
        <w:rPr>
          <w:b/>
          <w:lang w:val="lv-LV"/>
        </w:rPr>
        <w:t>1</w:t>
      </w:r>
      <w:r w:rsidR="00EA4A2D">
        <w:rPr>
          <w:b/>
          <w:lang w:val="lv-LV"/>
        </w:rPr>
        <w:t>3</w:t>
      </w:r>
      <w:r w:rsidR="00DA7FCA" w:rsidRPr="00672E43">
        <w:rPr>
          <w:b/>
          <w:lang w:val="lv-LV"/>
        </w:rPr>
        <w:t>.0</w:t>
      </w:r>
      <w:r w:rsidR="004B2390" w:rsidRPr="00672E43">
        <w:rPr>
          <w:b/>
          <w:lang w:val="lv-LV"/>
        </w:rPr>
        <w:t>7</w:t>
      </w:r>
      <w:r w:rsidR="007377BD" w:rsidRPr="00672E43">
        <w:rPr>
          <w:b/>
          <w:lang w:val="lv-LV"/>
        </w:rPr>
        <w:t>.20</w:t>
      </w:r>
      <w:r w:rsidR="00390CF5" w:rsidRPr="00672E43">
        <w:rPr>
          <w:b/>
          <w:lang w:val="lv-LV"/>
        </w:rPr>
        <w:t>20</w:t>
      </w:r>
      <w:r w:rsidR="00B44512" w:rsidRPr="00672E43">
        <w:rPr>
          <w:b/>
          <w:lang w:val="lv-LV"/>
        </w:rPr>
        <w:t>.</w:t>
      </w:r>
    </w:p>
    <w:p w14:paraId="596E6553" w14:textId="77777777" w:rsidR="00042A1B" w:rsidRPr="00672E43" w:rsidRDefault="00042A1B" w:rsidP="00B44512">
      <w:pPr>
        <w:spacing w:after="0" w:line="240" w:lineRule="auto"/>
        <w:jc w:val="right"/>
        <w:rPr>
          <w:b/>
          <w:lang w:val="lv-LV"/>
        </w:rPr>
      </w:pPr>
    </w:p>
    <w:p w14:paraId="7788BBFE" w14:textId="631AB540" w:rsidR="00DA7FCA" w:rsidRPr="00672E43" w:rsidRDefault="007B3077" w:rsidP="00717F4C">
      <w:pPr>
        <w:jc w:val="both"/>
        <w:rPr>
          <w:b/>
          <w:sz w:val="24"/>
          <w:szCs w:val="24"/>
          <w:lang w:val="lv-LV"/>
        </w:rPr>
      </w:pPr>
      <w:r>
        <w:rPr>
          <w:b/>
          <w:sz w:val="24"/>
          <w:szCs w:val="24"/>
          <w:lang w:val="lv-LV"/>
        </w:rPr>
        <w:t>LTAB: No 1.jūlija mainās kārtība kā tiek aprēķināti sodi par transportlīdzekļa vadīšanu bez OCTA</w:t>
      </w:r>
    </w:p>
    <w:p w14:paraId="3A6D6473" w14:textId="67A8D057" w:rsidR="00DA7FCA" w:rsidRPr="00672E43" w:rsidRDefault="00B045BB" w:rsidP="000C3984">
      <w:pPr>
        <w:spacing w:after="0" w:line="240" w:lineRule="auto"/>
        <w:jc w:val="both"/>
        <w:rPr>
          <w:b/>
          <w:sz w:val="24"/>
          <w:szCs w:val="24"/>
          <w:lang w:val="lv-LV"/>
        </w:rPr>
      </w:pPr>
      <w:r w:rsidRPr="00672E43">
        <w:rPr>
          <w:b/>
          <w:sz w:val="24"/>
          <w:szCs w:val="24"/>
          <w:lang w:val="lv-LV"/>
        </w:rPr>
        <w:t>Šī gada 1. jūlijā stājās spēkā jaunais Administratīvās atbildības likums un grozījumi Ceļu satiksmes likumā, kas nosaka atbildību par administratīvajiem pārkāpumiem ceļu satiksmē</w:t>
      </w:r>
      <w:r w:rsidR="009469B0" w:rsidRPr="00672E43">
        <w:rPr>
          <w:b/>
          <w:sz w:val="24"/>
          <w:szCs w:val="24"/>
          <w:lang w:val="lv-LV"/>
        </w:rPr>
        <w:t>.</w:t>
      </w:r>
      <w:r w:rsidR="006D69D5" w:rsidRPr="00672E43">
        <w:rPr>
          <w:b/>
          <w:sz w:val="24"/>
          <w:szCs w:val="24"/>
          <w:lang w:val="lv-LV"/>
        </w:rPr>
        <w:t xml:space="preserve"> </w:t>
      </w:r>
      <w:r w:rsidRPr="00672E43">
        <w:rPr>
          <w:b/>
          <w:sz w:val="24"/>
          <w:szCs w:val="24"/>
          <w:lang w:val="lv-LV"/>
        </w:rPr>
        <w:t xml:space="preserve">Normatīvo aktu izmaiņas paredz arī jaunu kārtību sodu aprēķināšanā par </w:t>
      </w:r>
      <w:bookmarkStart w:id="0" w:name="_Hlk45179965"/>
      <w:r w:rsidRPr="00672E43">
        <w:rPr>
          <w:b/>
          <w:sz w:val="24"/>
          <w:szCs w:val="24"/>
          <w:lang w:val="lv-LV"/>
        </w:rPr>
        <w:t>transportlīdzekļa izmantošanu ceļu satiksmē</w:t>
      </w:r>
      <w:bookmarkEnd w:id="0"/>
      <w:r w:rsidRPr="00672E43">
        <w:rPr>
          <w:b/>
          <w:sz w:val="24"/>
          <w:szCs w:val="24"/>
          <w:lang w:val="lv-LV"/>
        </w:rPr>
        <w:t>, attiecībā uz kuru nav veikta tā īpašnieka civiltiesiskās atbildības obligātā apdrošināšana (OCTA).</w:t>
      </w:r>
    </w:p>
    <w:p w14:paraId="110BF3A0" w14:textId="77777777" w:rsidR="00283E3C" w:rsidRPr="00672E43" w:rsidRDefault="00283E3C" w:rsidP="00256127">
      <w:pPr>
        <w:spacing w:after="0" w:line="240" w:lineRule="auto"/>
        <w:jc w:val="both"/>
        <w:rPr>
          <w:b/>
          <w:lang w:val="lv-LV"/>
        </w:rPr>
      </w:pPr>
    </w:p>
    <w:p w14:paraId="449D5514" w14:textId="457879CB" w:rsidR="000C3984" w:rsidRDefault="007B3077" w:rsidP="00B045BB">
      <w:pPr>
        <w:spacing w:after="0" w:line="240" w:lineRule="auto"/>
        <w:jc w:val="both"/>
        <w:rPr>
          <w:color w:val="000000" w:themeColor="text1"/>
          <w:sz w:val="24"/>
          <w:szCs w:val="24"/>
          <w:lang w:val="lv-LV"/>
        </w:rPr>
      </w:pPr>
      <w:r>
        <w:rPr>
          <w:color w:val="000000" w:themeColor="text1"/>
          <w:sz w:val="24"/>
          <w:szCs w:val="24"/>
          <w:lang w:val="lv-LV"/>
        </w:rPr>
        <w:t xml:space="preserve">No 1.jūlija ievērojami palielināti sodi par </w:t>
      </w:r>
      <w:r w:rsidRPr="007B3077">
        <w:rPr>
          <w:color w:val="000000" w:themeColor="text1"/>
          <w:sz w:val="24"/>
          <w:szCs w:val="24"/>
          <w:lang w:val="lv-LV"/>
        </w:rPr>
        <w:t>kravas automobiļa virs 12 tonnām un autobusa virs 12 tonnām</w:t>
      </w:r>
      <w:r>
        <w:rPr>
          <w:color w:val="000000" w:themeColor="text1"/>
          <w:sz w:val="24"/>
          <w:szCs w:val="24"/>
          <w:lang w:val="lv-LV"/>
        </w:rPr>
        <w:t xml:space="preserve"> izmantošanu ceļu satiksmē bez OCTA. “Ja līdz šim minēto transportlīdzekļu vadītāji vai īpašnieki par spēkrata lietošanu bez OCTA, saņēma sodu </w:t>
      </w:r>
      <w:r w:rsidRPr="007B3077">
        <w:rPr>
          <w:color w:val="000000" w:themeColor="text1"/>
          <w:sz w:val="24"/>
          <w:szCs w:val="24"/>
          <w:lang w:val="lv-LV"/>
        </w:rPr>
        <w:t>no 85 līdz 120</w:t>
      </w:r>
      <w:r>
        <w:rPr>
          <w:color w:val="000000" w:themeColor="text1"/>
          <w:sz w:val="24"/>
          <w:szCs w:val="24"/>
          <w:lang w:val="lv-LV"/>
        </w:rPr>
        <w:t xml:space="preserve"> EUR, tad jaunā kārtība paredz </w:t>
      </w:r>
      <w:r w:rsidR="00DE3D08">
        <w:rPr>
          <w:color w:val="000000" w:themeColor="text1"/>
          <w:sz w:val="24"/>
          <w:szCs w:val="24"/>
          <w:lang w:val="lv-LV"/>
        </w:rPr>
        <w:t>vairākkārtēju soda apmēra palielinājumu</w:t>
      </w:r>
      <w:r>
        <w:rPr>
          <w:color w:val="000000" w:themeColor="text1"/>
          <w:sz w:val="24"/>
          <w:szCs w:val="24"/>
          <w:lang w:val="lv-LV"/>
        </w:rPr>
        <w:t>,” informē Latvijas Transportlīdzekļu apdrošinātāju biroja (turpmāk – LTAB) valdes priekšsēdētājs Jānis Abāšins</w:t>
      </w:r>
      <w:r w:rsidR="00DE3D08">
        <w:rPr>
          <w:color w:val="000000" w:themeColor="text1"/>
          <w:sz w:val="24"/>
          <w:szCs w:val="24"/>
          <w:lang w:val="lv-LV"/>
        </w:rPr>
        <w:t>, piebilstot, ka minētie grozījumi veikti ņemot vērā minēto transportlīdzekļu relatīvi augstos riska faktorus</w:t>
      </w:r>
      <w:r>
        <w:rPr>
          <w:color w:val="000000" w:themeColor="text1"/>
          <w:sz w:val="24"/>
          <w:szCs w:val="24"/>
          <w:lang w:val="lv-LV"/>
        </w:rPr>
        <w:t>.</w:t>
      </w:r>
    </w:p>
    <w:p w14:paraId="00B6F2EE" w14:textId="0592325C" w:rsidR="007B3077" w:rsidRDefault="007B3077" w:rsidP="00B045BB">
      <w:pPr>
        <w:spacing w:after="0" w:line="240" w:lineRule="auto"/>
        <w:jc w:val="both"/>
        <w:rPr>
          <w:color w:val="000000" w:themeColor="text1"/>
          <w:sz w:val="24"/>
          <w:szCs w:val="24"/>
          <w:lang w:val="lv-LV"/>
        </w:rPr>
      </w:pPr>
    </w:p>
    <w:p w14:paraId="54A2B91B" w14:textId="68D151D0" w:rsidR="007B3077" w:rsidRPr="007B3077" w:rsidRDefault="00DE3D08" w:rsidP="00B045BB">
      <w:pPr>
        <w:spacing w:after="0" w:line="240" w:lineRule="auto"/>
        <w:jc w:val="both"/>
        <w:rPr>
          <w:color w:val="000000" w:themeColor="text1"/>
          <w:sz w:val="24"/>
          <w:szCs w:val="24"/>
          <w:lang w:val="lv-LV"/>
        </w:rPr>
      </w:pPr>
      <w:r>
        <w:rPr>
          <w:color w:val="000000" w:themeColor="text1"/>
          <w:sz w:val="24"/>
          <w:szCs w:val="24"/>
          <w:lang w:val="lv-LV"/>
        </w:rPr>
        <w:t xml:space="preserve">Tāpat likumu izmaiņas paredz, ka ja </w:t>
      </w:r>
      <w:r w:rsidRPr="00DE3D08">
        <w:rPr>
          <w:color w:val="000000" w:themeColor="text1"/>
          <w:sz w:val="24"/>
          <w:szCs w:val="24"/>
          <w:lang w:val="lv-LV"/>
        </w:rPr>
        <w:t xml:space="preserve">tirdzniecības uzņēmums (komersants), </w:t>
      </w:r>
      <w:r>
        <w:rPr>
          <w:color w:val="000000" w:themeColor="text1"/>
          <w:sz w:val="24"/>
          <w:szCs w:val="24"/>
          <w:lang w:val="lv-LV"/>
        </w:rPr>
        <w:t>kam</w:t>
      </w:r>
      <w:r w:rsidRPr="00DE3D08">
        <w:rPr>
          <w:color w:val="000000" w:themeColor="text1"/>
          <w:sz w:val="24"/>
          <w:szCs w:val="24"/>
          <w:lang w:val="lv-LV"/>
        </w:rPr>
        <w:t xml:space="preserve"> transportlīdzeklis nodots tirdzniecībā</w:t>
      </w:r>
      <w:r>
        <w:rPr>
          <w:color w:val="000000" w:themeColor="text1"/>
          <w:sz w:val="24"/>
          <w:szCs w:val="24"/>
          <w:lang w:val="lv-LV"/>
        </w:rPr>
        <w:t xml:space="preserve">, lietos to bez derīgas OCTA, tam tiks piemērots sods </w:t>
      </w:r>
      <w:r w:rsidRPr="00672E43">
        <w:rPr>
          <w:rFonts w:cstheme="minorHAnsi"/>
          <w:sz w:val="24"/>
          <w:szCs w:val="24"/>
          <w:lang w:val="lv-LV"/>
        </w:rPr>
        <w:t>350-650</w:t>
      </w:r>
      <w:r>
        <w:rPr>
          <w:rFonts w:cstheme="minorHAnsi"/>
          <w:sz w:val="24"/>
          <w:szCs w:val="24"/>
          <w:lang w:val="lv-LV"/>
        </w:rPr>
        <w:t xml:space="preserve"> EUR apmērā.</w:t>
      </w:r>
    </w:p>
    <w:p w14:paraId="4A137455" w14:textId="6762BDDD" w:rsidR="001F2693" w:rsidRPr="00672E43" w:rsidRDefault="001F2693" w:rsidP="00B045BB">
      <w:pPr>
        <w:spacing w:after="0" w:line="240" w:lineRule="auto"/>
        <w:jc w:val="both"/>
        <w:rPr>
          <w:color w:val="000000" w:themeColor="text1"/>
          <w:sz w:val="24"/>
          <w:szCs w:val="24"/>
          <w:lang w:val="lv-LV"/>
        </w:rPr>
      </w:pPr>
    </w:p>
    <w:p w14:paraId="521AB115" w14:textId="6A1F6510" w:rsidR="001F2693" w:rsidRPr="00672E43" w:rsidRDefault="001F2693" w:rsidP="00B045BB">
      <w:pPr>
        <w:spacing w:after="0" w:line="240" w:lineRule="auto"/>
        <w:jc w:val="both"/>
        <w:rPr>
          <w:color w:val="000000" w:themeColor="text1"/>
          <w:sz w:val="24"/>
          <w:szCs w:val="24"/>
          <w:lang w:val="lv-LV"/>
        </w:rPr>
      </w:pPr>
      <w:r w:rsidRPr="00672E43">
        <w:rPr>
          <w:color w:val="000000" w:themeColor="text1"/>
          <w:sz w:val="24"/>
          <w:szCs w:val="24"/>
          <w:lang w:val="lv-LV"/>
        </w:rPr>
        <w:t xml:space="preserve">Izmaiņas normatīvajos aktos </w:t>
      </w:r>
      <w:r w:rsidR="00DE3D08">
        <w:rPr>
          <w:color w:val="000000" w:themeColor="text1"/>
          <w:sz w:val="24"/>
          <w:szCs w:val="24"/>
          <w:lang w:val="lv-LV"/>
        </w:rPr>
        <w:t>paredz arī</w:t>
      </w:r>
      <w:r w:rsidRPr="00672E43">
        <w:rPr>
          <w:color w:val="000000" w:themeColor="text1"/>
          <w:sz w:val="24"/>
          <w:szCs w:val="24"/>
          <w:lang w:val="lv-LV"/>
        </w:rPr>
        <w:t xml:space="preserve"> citādu naudas sodu piemērošanas kārtību</w:t>
      </w:r>
      <w:r w:rsidR="008D6E17" w:rsidRPr="00672E43">
        <w:rPr>
          <w:color w:val="000000" w:themeColor="text1"/>
          <w:sz w:val="24"/>
          <w:szCs w:val="24"/>
          <w:lang w:val="lv-LV"/>
        </w:rPr>
        <w:t>. Turpmāk administratīvais sods par transportlīdzekļa izmantošanu ceļu satiksmē bez OCTA tiks aprēķināts naudas soda vienībās, nosakot, ka 1 vienība ir līdzvērtīga 5 EUR.</w:t>
      </w:r>
    </w:p>
    <w:p w14:paraId="6F13BFF6" w14:textId="63B8425E" w:rsidR="008D6E17" w:rsidRPr="00672E43" w:rsidRDefault="008D6E17" w:rsidP="00B045BB">
      <w:pPr>
        <w:spacing w:after="0" w:line="240" w:lineRule="auto"/>
        <w:jc w:val="both"/>
        <w:rPr>
          <w:color w:val="000000" w:themeColor="text1"/>
          <w:sz w:val="24"/>
          <w:szCs w:val="24"/>
          <w:lang w:val="lv-LV"/>
        </w:rPr>
      </w:pPr>
    </w:p>
    <w:tbl>
      <w:tblPr>
        <w:tblStyle w:val="TableGrid"/>
        <w:tblW w:w="9356" w:type="dxa"/>
        <w:tblInd w:w="-5" w:type="dxa"/>
        <w:tblLook w:val="04A0" w:firstRow="1" w:lastRow="0" w:firstColumn="1" w:lastColumn="0" w:noHBand="0" w:noVBand="1"/>
      </w:tblPr>
      <w:tblGrid>
        <w:gridCol w:w="4395"/>
        <w:gridCol w:w="2835"/>
        <w:gridCol w:w="2126"/>
      </w:tblGrid>
      <w:tr w:rsidR="008D6E17" w:rsidRPr="00672E43" w14:paraId="2348B835" w14:textId="77777777" w:rsidTr="00672E43">
        <w:tc>
          <w:tcPr>
            <w:tcW w:w="4395" w:type="dxa"/>
          </w:tcPr>
          <w:p w14:paraId="1D004CED" w14:textId="155CDB3F" w:rsidR="008D6E17" w:rsidRPr="00672E43" w:rsidRDefault="008D6E17" w:rsidP="006D1A6E">
            <w:pPr>
              <w:jc w:val="center"/>
              <w:rPr>
                <w:rFonts w:cstheme="minorHAnsi"/>
                <w:b/>
                <w:bCs/>
                <w:sz w:val="24"/>
                <w:szCs w:val="24"/>
                <w:lang w:val="lv-LV"/>
              </w:rPr>
            </w:pPr>
            <w:r w:rsidRPr="00672E43">
              <w:rPr>
                <w:rFonts w:cstheme="minorHAnsi"/>
                <w:b/>
                <w:bCs/>
                <w:sz w:val="24"/>
                <w:szCs w:val="24"/>
                <w:lang w:val="lv-LV"/>
              </w:rPr>
              <w:t>Subjekts, kuram piemēro administratīvo sodu par transportlīdzekļa izmantošanu ceļu satiksmē bez OCTA</w:t>
            </w:r>
          </w:p>
        </w:tc>
        <w:tc>
          <w:tcPr>
            <w:tcW w:w="2835" w:type="dxa"/>
          </w:tcPr>
          <w:p w14:paraId="2F93F1EC" w14:textId="77777777" w:rsidR="008D6E17" w:rsidRPr="00672E43" w:rsidRDefault="008D6E17" w:rsidP="006D1A6E">
            <w:pPr>
              <w:jc w:val="center"/>
              <w:rPr>
                <w:rFonts w:cstheme="minorHAnsi"/>
                <w:b/>
                <w:bCs/>
                <w:sz w:val="24"/>
                <w:szCs w:val="24"/>
                <w:lang w:val="lv-LV"/>
              </w:rPr>
            </w:pPr>
            <w:r w:rsidRPr="00672E43">
              <w:rPr>
                <w:rFonts w:cstheme="minorHAnsi"/>
                <w:b/>
                <w:bCs/>
                <w:sz w:val="24"/>
                <w:szCs w:val="24"/>
                <w:lang w:val="lv-LV"/>
              </w:rPr>
              <w:t>Administratīvais sods</w:t>
            </w:r>
          </w:p>
          <w:p w14:paraId="59B4ABB2" w14:textId="77777777" w:rsidR="008D6E17" w:rsidRPr="00672E43" w:rsidRDefault="008D6E17" w:rsidP="006D1A6E">
            <w:pPr>
              <w:jc w:val="center"/>
              <w:rPr>
                <w:rFonts w:cstheme="minorHAnsi"/>
                <w:b/>
                <w:bCs/>
                <w:sz w:val="24"/>
                <w:szCs w:val="24"/>
                <w:lang w:val="lv-LV"/>
              </w:rPr>
            </w:pPr>
            <w:r w:rsidRPr="00672E43">
              <w:rPr>
                <w:rFonts w:cstheme="minorHAnsi"/>
                <w:b/>
                <w:bCs/>
                <w:sz w:val="24"/>
                <w:szCs w:val="24"/>
                <w:lang w:val="lv-LV"/>
              </w:rPr>
              <w:t>naudas soda vienībās</w:t>
            </w:r>
          </w:p>
          <w:p w14:paraId="032BB804" w14:textId="77777777" w:rsidR="008D6E17" w:rsidRPr="00672E43" w:rsidRDefault="008D6E17" w:rsidP="006D1A6E">
            <w:pPr>
              <w:jc w:val="center"/>
              <w:rPr>
                <w:rFonts w:cstheme="minorHAnsi"/>
                <w:b/>
                <w:bCs/>
                <w:sz w:val="24"/>
                <w:szCs w:val="24"/>
                <w:lang w:val="lv-LV"/>
              </w:rPr>
            </w:pPr>
            <w:r w:rsidRPr="00672E43">
              <w:rPr>
                <w:rFonts w:cstheme="minorHAnsi"/>
                <w:b/>
                <w:bCs/>
                <w:sz w:val="24"/>
                <w:szCs w:val="24"/>
                <w:lang w:val="lv-LV"/>
              </w:rPr>
              <w:t>1 vienība = 5 EUR</w:t>
            </w:r>
          </w:p>
        </w:tc>
        <w:tc>
          <w:tcPr>
            <w:tcW w:w="2126" w:type="dxa"/>
          </w:tcPr>
          <w:p w14:paraId="7278E727" w14:textId="329693B5" w:rsidR="008D6E17" w:rsidRPr="00672E43" w:rsidRDefault="008D6E17" w:rsidP="008D6E17">
            <w:pPr>
              <w:jc w:val="center"/>
              <w:rPr>
                <w:rFonts w:cstheme="minorHAnsi"/>
                <w:b/>
                <w:bCs/>
                <w:sz w:val="24"/>
                <w:szCs w:val="24"/>
                <w:lang w:val="lv-LV"/>
              </w:rPr>
            </w:pPr>
            <w:r w:rsidRPr="00672E43">
              <w:rPr>
                <w:rFonts w:cstheme="minorHAnsi"/>
                <w:b/>
                <w:bCs/>
                <w:sz w:val="24"/>
                <w:szCs w:val="24"/>
                <w:lang w:val="lv-LV"/>
              </w:rPr>
              <w:t>Administratīvais sods (EUR)</w:t>
            </w:r>
          </w:p>
        </w:tc>
      </w:tr>
      <w:tr w:rsidR="008D6E17" w:rsidRPr="00672E43" w14:paraId="63B24EAE" w14:textId="77777777" w:rsidTr="00672E43">
        <w:tc>
          <w:tcPr>
            <w:tcW w:w="4395" w:type="dxa"/>
          </w:tcPr>
          <w:p w14:paraId="37CF989B" w14:textId="77777777" w:rsidR="008D6E17" w:rsidRPr="00672E43" w:rsidRDefault="008D6E17" w:rsidP="006D1A6E">
            <w:pPr>
              <w:rPr>
                <w:rFonts w:cstheme="minorHAnsi"/>
                <w:sz w:val="24"/>
                <w:szCs w:val="24"/>
                <w:lang w:val="lv-LV"/>
              </w:rPr>
            </w:pPr>
            <w:r w:rsidRPr="00672E43">
              <w:rPr>
                <w:rFonts w:cstheme="minorHAnsi"/>
                <w:color w:val="414142"/>
                <w:sz w:val="24"/>
                <w:szCs w:val="24"/>
                <w:lang w:val="lv-LV"/>
              </w:rPr>
              <w:t>mopēda vadītājs</w:t>
            </w:r>
          </w:p>
        </w:tc>
        <w:tc>
          <w:tcPr>
            <w:tcW w:w="2835" w:type="dxa"/>
          </w:tcPr>
          <w:p w14:paraId="321E337F" w14:textId="77777777" w:rsidR="008D6E17" w:rsidRPr="00672E43" w:rsidRDefault="008D6E17" w:rsidP="006D1A6E">
            <w:pPr>
              <w:rPr>
                <w:rFonts w:cstheme="minorHAnsi"/>
                <w:sz w:val="24"/>
                <w:szCs w:val="24"/>
                <w:lang w:val="lv-LV"/>
              </w:rPr>
            </w:pPr>
            <w:r w:rsidRPr="00672E43">
              <w:rPr>
                <w:rFonts w:cstheme="minorHAnsi"/>
                <w:sz w:val="24"/>
                <w:szCs w:val="24"/>
                <w:lang w:val="lv-LV"/>
              </w:rPr>
              <w:t xml:space="preserve">6-11 </w:t>
            </w:r>
          </w:p>
        </w:tc>
        <w:tc>
          <w:tcPr>
            <w:tcW w:w="2126" w:type="dxa"/>
          </w:tcPr>
          <w:p w14:paraId="4BAA6A06" w14:textId="77777777" w:rsidR="008D6E17" w:rsidRPr="00672E43" w:rsidRDefault="008D6E17" w:rsidP="006D1A6E">
            <w:pPr>
              <w:rPr>
                <w:rFonts w:cstheme="minorHAnsi"/>
                <w:sz w:val="24"/>
                <w:szCs w:val="24"/>
                <w:lang w:val="lv-LV"/>
              </w:rPr>
            </w:pPr>
            <w:r w:rsidRPr="00672E43">
              <w:rPr>
                <w:rFonts w:cstheme="minorHAnsi"/>
                <w:sz w:val="24"/>
                <w:szCs w:val="24"/>
                <w:lang w:val="lv-LV"/>
              </w:rPr>
              <w:t xml:space="preserve">30-55 </w:t>
            </w:r>
          </w:p>
        </w:tc>
      </w:tr>
      <w:tr w:rsidR="008D6E17" w:rsidRPr="00672E43" w14:paraId="58BA6524" w14:textId="77777777" w:rsidTr="00672E43">
        <w:tc>
          <w:tcPr>
            <w:tcW w:w="4395" w:type="dxa"/>
          </w:tcPr>
          <w:p w14:paraId="4A8155A2" w14:textId="7933549B" w:rsidR="008D6E17" w:rsidRPr="00672E43" w:rsidRDefault="008D6E17" w:rsidP="006D1A6E">
            <w:pPr>
              <w:rPr>
                <w:rFonts w:cstheme="minorHAnsi"/>
                <w:sz w:val="24"/>
                <w:szCs w:val="24"/>
                <w:lang w:val="lv-LV"/>
              </w:rPr>
            </w:pPr>
            <w:r w:rsidRPr="00672E43">
              <w:rPr>
                <w:rFonts w:cstheme="minorHAnsi"/>
                <w:color w:val="414142"/>
                <w:sz w:val="24"/>
                <w:szCs w:val="24"/>
                <w:lang w:val="lv-LV"/>
              </w:rPr>
              <w:t>cita transportlīdzekļa vadītājs</w:t>
            </w:r>
          </w:p>
        </w:tc>
        <w:tc>
          <w:tcPr>
            <w:tcW w:w="2835" w:type="dxa"/>
          </w:tcPr>
          <w:p w14:paraId="5EBEFB52" w14:textId="77777777" w:rsidR="008D6E17" w:rsidRPr="00672E43" w:rsidRDefault="008D6E17" w:rsidP="006D1A6E">
            <w:pPr>
              <w:rPr>
                <w:rFonts w:cstheme="minorHAnsi"/>
                <w:sz w:val="24"/>
                <w:szCs w:val="24"/>
                <w:lang w:val="lv-LV"/>
              </w:rPr>
            </w:pPr>
            <w:r w:rsidRPr="00672E43">
              <w:rPr>
                <w:rFonts w:cstheme="minorHAnsi"/>
                <w:sz w:val="24"/>
                <w:szCs w:val="24"/>
                <w:lang w:val="lv-LV"/>
              </w:rPr>
              <w:t>17-24</w:t>
            </w:r>
          </w:p>
        </w:tc>
        <w:tc>
          <w:tcPr>
            <w:tcW w:w="2126" w:type="dxa"/>
          </w:tcPr>
          <w:p w14:paraId="5FBC5FF7" w14:textId="77777777" w:rsidR="008D6E17" w:rsidRPr="00672E43" w:rsidRDefault="008D6E17" w:rsidP="006D1A6E">
            <w:pPr>
              <w:rPr>
                <w:rFonts w:cstheme="minorHAnsi"/>
                <w:sz w:val="24"/>
                <w:szCs w:val="24"/>
                <w:lang w:val="lv-LV"/>
              </w:rPr>
            </w:pPr>
            <w:r w:rsidRPr="00672E43">
              <w:rPr>
                <w:rFonts w:cstheme="minorHAnsi"/>
                <w:sz w:val="24"/>
                <w:szCs w:val="24"/>
                <w:lang w:val="lv-LV"/>
              </w:rPr>
              <w:t>85-120</w:t>
            </w:r>
          </w:p>
        </w:tc>
      </w:tr>
      <w:tr w:rsidR="008D6E17" w:rsidRPr="00672E43" w14:paraId="2CEB4C68" w14:textId="77777777" w:rsidTr="00672E43">
        <w:tc>
          <w:tcPr>
            <w:tcW w:w="4395" w:type="dxa"/>
          </w:tcPr>
          <w:p w14:paraId="01C6EAD3" w14:textId="726721B3" w:rsidR="008D6E17" w:rsidRPr="00672E43" w:rsidRDefault="008D6E17" w:rsidP="006D1A6E">
            <w:pPr>
              <w:pStyle w:val="ListParagraph"/>
              <w:tabs>
                <w:tab w:val="left" w:pos="313"/>
              </w:tabs>
              <w:ind w:left="29"/>
              <w:rPr>
                <w:rFonts w:cstheme="minorHAnsi"/>
                <w:sz w:val="24"/>
                <w:szCs w:val="24"/>
              </w:rPr>
            </w:pPr>
            <w:bookmarkStart w:id="1" w:name="_Hlk45274813"/>
            <w:r w:rsidRPr="00672E43">
              <w:rPr>
                <w:rFonts w:cstheme="minorHAnsi"/>
                <w:color w:val="414142"/>
                <w:sz w:val="24"/>
                <w:szCs w:val="24"/>
              </w:rPr>
              <w:t xml:space="preserve">kravas automobiļa virs 12 tonnām un autobusa virs 12 tonnām </w:t>
            </w:r>
            <w:bookmarkEnd w:id="1"/>
            <w:r w:rsidRPr="00672E43">
              <w:rPr>
                <w:rFonts w:cstheme="minorHAnsi"/>
                <w:color w:val="414142"/>
                <w:sz w:val="24"/>
                <w:szCs w:val="24"/>
              </w:rPr>
              <w:t>īpašnieks (valdītājs, turētājs) – fiz</w:t>
            </w:r>
            <w:r w:rsidR="00AE226D" w:rsidRPr="00672E43">
              <w:rPr>
                <w:rFonts w:cstheme="minorHAnsi"/>
                <w:color w:val="414142"/>
                <w:sz w:val="24"/>
                <w:szCs w:val="24"/>
              </w:rPr>
              <w:t>iska</w:t>
            </w:r>
            <w:r w:rsidRPr="00672E43">
              <w:rPr>
                <w:rFonts w:cstheme="minorHAnsi"/>
                <w:color w:val="414142"/>
                <w:sz w:val="24"/>
                <w:szCs w:val="24"/>
              </w:rPr>
              <w:t xml:space="preserve"> vai jur</w:t>
            </w:r>
            <w:r w:rsidR="00AE226D" w:rsidRPr="00672E43">
              <w:rPr>
                <w:rFonts w:cstheme="minorHAnsi"/>
                <w:color w:val="414142"/>
                <w:sz w:val="24"/>
                <w:szCs w:val="24"/>
              </w:rPr>
              <w:t>idiska</w:t>
            </w:r>
            <w:r w:rsidRPr="00672E43">
              <w:rPr>
                <w:rFonts w:cstheme="minorHAnsi"/>
                <w:color w:val="414142"/>
                <w:sz w:val="24"/>
                <w:szCs w:val="24"/>
              </w:rPr>
              <w:t xml:space="preserve"> pers</w:t>
            </w:r>
            <w:r w:rsidR="00AE226D" w:rsidRPr="00672E43">
              <w:rPr>
                <w:rFonts w:cstheme="minorHAnsi"/>
                <w:color w:val="414142"/>
                <w:sz w:val="24"/>
                <w:szCs w:val="24"/>
              </w:rPr>
              <w:t>ona</w:t>
            </w:r>
          </w:p>
        </w:tc>
        <w:tc>
          <w:tcPr>
            <w:tcW w:w="2835" w:type="dxa"/>
          </w:tcPr>
          <w:p w14:paraId="472B64D6" w14:textId="77777777" w:rsidR="008D6E17" w:rsidRPr="00672E43" w:rsidRDefault="008D6E17" w:rsidP="006D1A6E">
            <w:pPr>
              <w:rPr>
                <w:rFonts w:cstheme="minorHAnsi"/>
                <w:sz w:val="24"/>
                <w:szCs w:val="24"/>
                <w:lang w:val="lv-LV"/>
              </w:rPr>
            </w:pPr>
            <w:r w:rsidRPr="00672E43">
              <w:rPr>
                <w:rFonts w:cstheme="minorHAnsi"/>
                <w:sz w:val="24"/>
                <w:szCs w:val="24"/>
                <w:lang w:val="lv-LV"/>
              </w:rPr>
              <w:t>80-140</w:t>
            </w:r>
          </w:p>
        </w:tc>
        <w:tc>
          <w:tcPr>
            <w:tcW w:w="2126" w:type="dxa"/>
          </w:tcPr>
          <w:p w14:paraId="66C84AD2" w14:textId="77777777" w:rsidR="008D6E17" w:rsidRPr="00672E43" w:rsidRDefault="008D6E17" w:rsidP="006D1A6E">
            <w:pPr>
              <w:rPr>
                <w:rFonts w:cstheme="minorHAnsi"/>
                <w:sz w:val="24"/>
                <w:szCs w:val="24"/>
                <w:lang w:val="lv-LV"/>
              </w:rPr>
            </w:pPr>
            <w:r w:rsidRPr="00672E43">
              <w:rPr>
                <w:rFonts w:cstheme="minorHAnsi"/>
                <w:sz w:val="24"/>
                <w:szCs w:val="24"/>
                <w:lang w:val="lv-LV"/>
              </w:rPr>
              <w:t>400-700</w:t>
            </w:r>
          </w:p>
        </w:tc>
      </w:tr>
      <w:tr w:rsidR="008D6E17" w:rsidRPr="00672E43" w14:paraId="7E83B831" w14:textId="77777777" w:rsidTr="00672E43">
        <w:tc>
          <w:tcPr>
            <w:tcW w:w="4395" w:type="dxa"/>
          </w:tcPr>
          <w:p w14:paraId="59DEFDC2" w14:textId="48522128" w:rsidR="008D6E17" w:rsidRPr="00672E43" w:rsidRDefault="008D6E17" w:rsidP="006D1A6E">
            <w:pPr>
              <w:rPr>
                <w:rFonts w:cstheme="minorHAnsi"/>
                <w:sz w:val="24"/>
                <w:szCs w:val="24"/>
                <w:lang w:val="lv-LV"/>
              </w:rPr>
            </w:pPr>
            <w:r w:rsidRPr="00672E43">
              <w:rPr>
                <w:rFonts w:cstheme="minorHAnsi"/>
                <w:color w:val="414142"/>
                <w:sz w:val="24"/>
                <w:szCs w:val="24"/>
                <w:lang w:val="lv-LV"/>
              </w:rPr>
              <w:t xml:space="preserve">cita </w:t>
            </w:r>
            <w:r w:rsidR="00AE226D" w:rsidRPr="00672E43">
              <w:rPr>
                <w:rFonts w:cstheme="minorHAnsi"/>
                <w:color w:val="414142"/>
                <w:sz w:val="24"/>
                <w:szCs w:val="24"/>
                <w:lang w:val="lv-LV"/>
              </w:rPr>
              <w:t>transportlīdzekļa</w:t>
            </w:r>
            <w:r w:rsidRPr="00672E43">
              <w:rPr>
                <w:rFonts w:cstheme="minorHAnsi"/>
                <w:color w:val="414142"/>
                <w:sz w:val="24"/>
                <w:szCs w:val="24"/>
                <w:lang w:val="lv-LV"/>
              </w:rPr>
              <w:t xml:space="preserve"> īpašnieks (valdītājs, turētājs)  </w:t>
            </w:r>
            <w:r w:rsidR="00AE226D" w:rsidRPr="00672E43">
              <w:rPr>
                <w:rFonts w:cstheme="minorHAnsi"/>
                <w:color w:val="414142"/>
                <w:sz w:val="24"/>
                <w:szCs w:val="24"/>
                <w:lang w:val="lv-LV"/>
              </w:rPr>
              <w:t>– fiziska vai juridiska persona</w:t>
            </w:r>
          </w:p>
        </w:tc>
        <w:tc>
          <w:tcPr>
            <w:tcW w:w="2835" w:type="dxa"/>
          </w:tcPr>
          <w:p w14:paraId="5AB9DC5C" w14:textId="77777777" w:rsidR="008D6E17" w:rsidRPr="00672E43" w:rsidRDefault="008D6E17" w:rsidP="006D1A6E">
            <w:pPr>
              <w:rPr>
                <w:rFonts w:cstheme="minorHAnsi"/>
                <w:sz w:val="24"/>
                <w:szCs w:val="24"/>
                <w:lang w:val="lv-LV"/>
              </w:rPr>
            </w:pPr>
            <w:r w:rsidRPr="00672E43">
              <w:rPr>
                <w:rFonts w:cstheme="minorHAnsi"/>
                <w:sz w:val="24"/>
                <w:szCs w:val="24"/>
                <w:lang w:val="lv-LV"/>
              </w:rPr>
              <w:t>70-130</w:t>
            </w:r>
          </w:p>
        </w:tc>
        <w:tc>
          <w:tcPr>
            <w:tcW w:w="2126" w:type="dxa"/>
          </w:tcPr>
          <w:p w14:paraId="274789F1" w14:textId="77777777" w:rsidR="008D6E17" w:rsidRPr="00672E43" w:rsidRDefault="008D6E17" w:rsidP="006D1A6E">
            <w:pPr>
              <w:rPr>
                <w:rFonts w:cstheme="minorHAnsi"/>
                <w:sz w:val="24"/>
                <w:szCs w:val="24"/>
                <w:lang w:val="lv-LV"/>
              </w:rPr>
            </w:pPr>
            <w:r w:rsidRPr="00672E43">
              <w:rPr>
                <w:rFonts w:cstheme="minorHAnsi"/>
                <w:sz w:val="24"/>
                <w:szCs w:val="24"/>
                <w:lang w:val="lv-LV"/>
              </w:rPr>
              <w:t>350-650</w:t>
            </w:r>
          </w:p>
        </w:tc>
      </w:tr>
      <w:tr w:rsidR="008D6E17" w:rsidRPr="00672E43" w14:paraId="728B0F74" w14:textId="77777777" w:rsidTr="00672E43">
        <w:tc>
          <w:tcPr>
            <w:tcW w:w="4395" w:type="dxa"/>
          </w:tcPr>
          <w:p w14:paraId="1E3E213F" w14:textId="2E74A148" w:rsidR="008D6E17" w:rsidRPr="00672E43" w:rsidRDefault="008D6E17" w:rsidP="006D1A6E">
            <w:pPr>
              <w:rPr>
                <w:rFonts w:cstheme="minorHAnsi"/>
                <w:sz w:val="24"/>
                <w:szCs w:val="24"/>
                <w:lang w:val="lv-LV"/>
              </w:rPr>
            </w:pPr>
            <w:r w:rsidRPr="00672E43">
              <w:rPr>
                <w:rFonts w:cstheme="minorHAnsi"/>
                <w:color w:val="414142"/>
                <w:sz w:val="24"/>
                <w:szCs w:val="24"/>
                <w:lang w:val="lv-LV"/>
              </w:rPr>
              <w:t xml:space="preserve">tirdzniecības uzņēmums (komersants), ja </w:t>
            </w:r>
            <w:r w:rsidR="00AE226D" w:rsidRPr="00672E43">
              <w:rPr>
                <w:rFonts w:cstheme="minorHAnsi"/>
                <w:color w:val="414142"/>
                <w:sz w:val="24"/>
                <w:szCs w:val="24"/>
                <w:lang w:val="lv-LV"/>
              </w:rPr>
              <w:t>transportlīdzeklis</w:t>
            </w:r>
            <w:r w:rsidRPr="00672E43">
              <w:rPr>
                <w:rFonts w:cstheme="minorHAnsi"/>
                <w:color w:val="414142"/>
                <w:sz w:val="24"/>
                <w:szCs w:val="24"/>
                <w:lang w:val="lv-LV"/>
              </w:rPr>
              <w:t xml:space="preserve"> nodots tirdzniecībā – </w:t>
            </w:r>
            <w:r w:rsidR="00AE226D" w:rsidRPr="00672E43">
              <w:rPr>
                <w:rFonts w:cstheme="minorHAnsi"/>
                <w:color w:val="414142"/>
                <w:sz w:val="24"/>
                <w:szCs w:val="24"/>
                <w:lang w:val="lv-LV"/>
              </w:rPr>
              <w:t>fiziska vai juridiska persona</w:t>
            </w:r>
          </w:p>
        </w:tc>
        <w:tc>
          <w:tcPr>
            <w:tcW w:w="2835" w:type="dxa"/>
          </w:tcPr>
          <w:p w14:paraId="508E21A9" w14:textId="77777777" w:rsidR="008D6E17" w:rsidRPr="00672E43" w:rsidRDefault="008D6E17" w:rsidP="006D1A6E">
            <w:pPr>
              <w:rPr>
                <w:rFonts w:cstheme="minorHAnsi"/>
                <w:sz w:val="24"/>
                <w:szCs w:val="24"/>
                <w:lang w:val="lv-LV"/>
              </w:rPr>
            </w:pPr>
            <w:r w:rsidRPr="00672E43">
              <w:rPr>
                <w:rFonts w:cstheme="minorHAnsi"/>
                <w:sz w:val="24"/>
                <w:szCs w:val="24"/>
                <w:lang w:val="lv-LV"/>
              </w:rPr>
              <w:t>70-130</w:t>
            </w:r>
          </w:p>
        </w:tc>
        <w:tc>
          <w:tcPr>
            <w:tcW w:w="2126" w:type="dxa"/>
          </w:tcPr>
          <w:p w14:paraId="77AE3DF0" w14:textId="77777777" w:rsidR="008D6E17" w:rsidRPr="00672E43" w:rsidRDefault="008D6E17" w:rsidP="006D1A6E">
            <w:pPr>
              <w:rPr>
                <w:rFonts w:cstheme="minorHAnsi"/>
                <w:sz w:val="24"/>
                <w:szCs w:val="24"/>
                <w:lang w:val="lv-LV"/>
              </w:rPr>
            </w:pPr>
            <w:r w:rsidRPr="00672E43">
              <w:rPr>
                <w:rFonts w:cstheme="minorHAnsi"/>
                <w:sz w:val="24"/>
                <w:szCs w:val="24"/>
                <w:lang w:val="lv-LV"/>
              </w:rPr>
              <w:t>350-650</w:t>
            </w:r>
          </w:p>
        </w:tc>
      </w:tr>
    </w:tbl>
    <w:p w14:paraId="2ED6EFAF" w14:textId="77777777" w:rsidR="008D6E17" w:rsidRPr="00672E43" w:rsidRDefault="008D6E17" w:rsidP="00B045BB">
      <w:pPr>
        <w:spacing w:after="0" w:line="240" w:lineRule="auto"/>
        <w:jc w:val="both"/>
        <w:rPr>
          <w:color w:val="000000" w:themeColor="text1"/>
          <w:sz w:val="24"/>
          <w:szCs w:val="24"/>
          <w:lang w:val="lv-LV"/>
        </w:rPr>
      </w:pPr>
    </w:p>
    <w:p w14:paraId="1744472C" w14:textId="062E37B9" w:rsidR="00EA4A2D" w:rsidRPr="00EA4A2D" w:rsidRDefault="007B3077" w:rsidP="00605F87">
      <w:pPr>
        <w:spacing w:after="0" w:line="240" w:lineRule="auto"/>
        <w:jc w:val="both"/>
        <w:rPr>
          <w:sz w:val="24"/>
          <w:szCs w:val="24"/>
          <w:lang w:val="lv-LV"/>
        </w:rPr>
      </w:pPr>
      <w:r>
        <w:rPr>
          <w:sz w:val="24"/>
          <w:szCs w:val="24"/>
          <w:lang w:val="lv-LV"/>
        </w:rPr>
        <w:lastRenderedPageBreak/>
        <w:t xml:space="preserve">Atbilstoši jaunajam </w:t>
      </w:r>
      <w:r w:rsidRPr="007B3077">
        <w:rPr>
          <w:sz w:val="24"/>
          <w:szCs w:val="24"/>
          <w:lang w:val="lv-LV"/>
        </w:rPr>
        <w:t>Administratīvās atbildības likum</w:t>
      </w:r>
      <w:r>
        <w:rPr>
          <w:sz w:val="24"/>
          <w:szCs w:val="24"/>
          <w:lang w:val="lv-LV"/>
        </w:rPr>
        <w:t>am, j</w:t>
      </w:r>
      <w:r w:rsidR="00EA4A2D">
        <w:rPr>
          <w:sz w:val="24"/>
          <w:szCs w:val="24"/>
          <w:lang w:val="lv-LV"/>
        </w:rPr>
        <w:t xml:space="preserve">āņem vērā, ka </w:t>
      </w:r>
      <w:r w:rsidR="00EA4A2D" w:rsidRPr="00EA4A2D">
        <w:rPr>
          <w:sz w:val="24"/>
          <w:szCs w:val="24"/>
          <w:lang w:val="lv-LV"/>
        </w:rPr>
        <w:t>ja viena persona izdarījusi divus vai vairākus administratīvos pārkāpumus, administratīvo sodu piemēro par katru pārkāpumu atsevišķi, un, ja ar vienu un to pašu darbību izdarīti vairāki administratīvie pārkāpumi, administratīvo sodu piemēro par katru pārkāpumu</w:t>
      </w:r>
      <w:r>
        <w:rPr>
          <w:sz w:val="24"/>
          <w:szCs w:val="24"/>
          <w:lang w:val="lv-LV"/>
        </w:rPr>
        <w:t>.</w:t>
      </w:r>
    </w:p>
    <w:p w14:paraId="6A2E59A8" w14:textId="77777777" w:rsidR="00EA4A2D" w:rsidRDefault="00EA4A2D" w:rsidP="00605F87">
      <w:pPr>
        <w:spacing w:after="0" w:line="240" w:lineRule="auto"/>
        <w:jc w:val="both"/>
        <w:rPr>
          <w:sz w:val="24"/>
          <w:szCs w:val="24"/>
          <w:lang w:val="lv-LV"/>
        </w:rPr>
      </w:pPr>
    </w:p>
    <w:p w14:paraId="54EADA99" w14:textId="2917F5FA" w:rsidR="00605F87" w:rsidRPr="00672E43" w:rsidRDefault="00605F87" w:rsidP="00605F87">
      <w:pPr>
        <w:spacing w:after="0" w:line="240" w:lineRule="auto"/>
        <w:jc w:val="both"/>
        <w:rPr>
          <w:sz w:val="24"/>
          <w:szCs w:val="24"/>
          <w:lang w:val="lv-LV"/>
        </w:rPr>
      </w:pPr>
      <w:r w:rsidRPr="00672E43">
        <w:rPr>
          <w:sz w:val="24"/>
          <w:szCs w:val="24"/>
          <w:lang w:val="lv-LV"/>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un “Swedbank P&amp;C Insurance” AS Latvijas filiāle.</w:t>
      </w:r>
    </w:p>
    <w:p w14:paraId="363D3D13" w14:textId="6114FCEF" w:rsidR="006C3376" w:rsidRPr="00672E43" w:rsidRDefault="006C3376" w:rsidP="006C3376">
      <w:pPr>
        <w:spacing w:after="0" w:line="240" w:lineRule="auto"/>
        <w:rPr>
          <w:sz w:val="20"/>
          <w:szCs w:val="20"/>
          <w:lang w:val="lv-LV"/>
        </w:rPr>
      </w:pPr>
    </w:p>
    <w:p w14:paraId="7D383D68" w14:textId="77777777" w:rsidR="00170949" w:rsidRPr="00672E43" w:rsidRDefault="00170949" w:rsidP="006C3376">
      <w:pPr>
        <w:spacing w:after="0" w:line="240" w:lineRule="auto"/>
        <w:rPr>
          <w:sz w:val="20"/>
          <w:szCs w:val="20"/>
          <w:lang w:val="lv-LV"/>
        </w:rPr>
      </w:pPr>
    </w:p>
    <w:p w14:paraId="35F67807" w14:textId="2479F941" w:rsidR="00E22A84" w:rsidRPr="00672E43" w:rsidRDefault="00E22A84" w:rsidP="00E22A84">
      <w:pPr>
        <w:spacing w:after="0" w:line="240" w:lineRule="auto"/>
        <w:jc w:val="right"/>
        <w:rPr>
          <w:rFonts w:cs="Times New Roman"/>
          <w:bCs/>
          <w:i/>
          <w:sz w:val="20"/>
          <w:szCs w:val="20"/>
          <w:lang w:val="lv-LV"/>
        </w:rPr>
      </w:pPr>
      <w:r w:rsidRPr="00672E43">
        <w:rPr>
          <w:rFonts w:cs="Times New Roman"/>
          <w:bCs/>
          <w:i/>
          <w:sz w:val="20"/>
          <w:szCs w:val="20"/>
          <w:lang w:val="lv-LV"/>
        </w:rPr>
        <w:t>Papildus informācija</w:t>
      </w:r>
    </w:p>
    <w:p w14:paraId="4B67728B" w14:textId="77777777" w:rsidR="00E22A84" w:rsidRPr="00672E43" w:rsidRDefault="00E22A84" w:rsidP="00E22A84">
      <w:pPr>
        <w:spacing w:after="0" w:line="240" w:lineRule="auto"/>
        <w:jc w:val="right"/>
        <w:rPr>
          <w:rFonts w:cs="Times New Roman"/>
          <w:bCs/>
          <w:i/>
          <w:sz w:val="20"/>
          <w:szCs w:val="20"/>
          <w:lang w:val="lv-LV"/>
        </w:rPr>
      </w:pPr>
      <w:r w:rsidRPr="00672E43">
        <w:rPr>
          <w:rFonts w:cs="Times New Roman"/>
          <w:bCs/>
          <w:i/>
          <w:sz w:val="20"/>
          <w:szCs w:val="20"/>
          <w:lang w:val="lv-LV"/>
        </w:rPr>
        <w:t>LTAB sabiedrisko attiecību konsultants</w:t>
      </w:r>
    </w:p>
    <w:p w14:paraId="5AA21BB5" w14:textId="77777777" w:rsidR="00E22A84" w:rsidRPr="00672E43" w:rsidRDefault="00E22A84" w:rsidP="00E22A84">
      <w:pPr>
        <w:spacing w:after="0" w:line="240" w:lineRule="auto"/>
        <w:jc w:val="right"/>
        <w:rPr>
          <w:rFonts w:cs="Times New Roman"/>
          <w:bCs/>
          <w:i/>
          <w:sz w:val="20"/>
          <w:szCs w:val="20"/>
          <w:lang w:val="lv-LV"/>
        </w:rPr>
      </w:pPr>
      <w:r w:rsidRPr="00672E43">
        <w:rPr>
          <w:rFonts w:cs="Times New Roman"/>
          <w:bCs/>
          <w:i/>
          <w:sz w:val="20"/>
          <w:szCs w:val="20"/>
          <w:lang w:val="lv-LV"/>
        </w:rPr>
        <w:t>Gints Lazdiņš</w:t>
      </w:r>
    </w:p>
    <w:p w14:paraId="69A6FE67" w14:textId="424FC530" w:rsidR="00617E51" w:rsidRPr="00672E43" w:rsidRDefault="00E22A84" w:rsidP="001A0DF5">
      <w:pPr>
        <w:spacing w:after="0" w:line="240" w:lineRule="auto"/>
        <w:jc w:val="right"/>
        <w:rPr>
          <w:sz w:val="20"/>
          <w:szCs w:val="20"/>
          <w:lang w:val="lv-LV"/>
        </w:rPr>
      </w:pPr>
      <w:r w:rsidRPr="00672E43">
        <w:rPr>
          <w:rFonts w:cs="Times New Roman"/>
          <w:bCs/>
          <w:i/>
          <w:sz w:val="20"/>
          <w:szCs w:val="20"/>
          <w:lang w:val="lv-LV"/>
        </w:rPr>
        <w:t>Tālr: +371 29442282, E-pasts: gints@olsen.lv</w:t>
      </w:r>
    </w:p>
    <w:sectPr w:rsidR="00617E51" w:rsidRPr="00672E43" w:rsidSect="00B045BB">
      <w:headerReference w:type="default" r:id="rId8"/>
      <w:footerReference w:type="default" r:id="rId9"/>
      <w:pgSz w:w="11906" w:h="16838"/>
      <w:pgMar w:top="1280" w:right="1274"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82914" w14:textId="77777777" w:rsidR="00CB39DB" w:rsidRDefault="00CB39DB" w:rsidP="00C62AF7">
      <w:pPr>
        <w:spacing w:after="0" w:line="240" w:lineRule="auto"/>
      </w:pPr>
      <w:r>
        <w:separator/>
      </w:r>
    </w:p>
  </w:endnote>
  <w:endnote w:type="continuationSeparator" w:id="0">
    <w:p w14:paraId="0178E8DD" w14:textId="77777777" w:rsidR="00CB39DB" w:rsidRDefault="00CB39DB" w:rsidP="00C62AF7">
      <w:pPr>
        <w:spacing w:after="0" w:line="240" w:lineRule="auto"/>
      </w:pPr>
      <w:r>
        <w:continuationSeparator/>
      </w:r>
    </w:p>
  </w:endnote>
  <w:endnote w:type="continuationNotice" w:id="1">
    <w:p w14:paraId="4BB4B7E2" w14:textId="77777777" w:rsidR="00CB39DB" w:rsidRDefault="00CB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F6849" w14:textId="77777777" w:rsidR="00CB39DB" w:rsidRDefault="00CB39DB" w:rsidP="00C62AF7">
      <w:pPr>
        <w:spacing w:after="0" w:line="240" w:lineRule="auto"/>
      </w:pPr>
      <w:r>
        <w:separator/>
      </w:r>
    </w:p>
  </w:footnote>
  <w:footnote w:type="continuationSeparator" w:id="0">
    <w:p w14:paraId="7CB97783" w14:textId="77777777" w:rsidR="00CB39DB" w:rsidRDefault="00CB39DB" w:rsidP="00C62AF7">
      <w:pPr>
        <w:spacing w:after="0" w:line="240" w:lineRule="auto"/>
      </w:pPr>
      <w:r>
        <w:continuationSeparator/>
      </w:r>
    </w:p>
  </w:footnote>
  <w:footnote w:type="continuationNotice" w:id="1">
    <w:p w14:paraId="6FB8DCD6" w14:textId="77777777" w:rsidR="00CB39DB" w:rsidRDefault="00CB39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B6531D"/>
    <w:multiLevelType w:val="multilevel"/>
    <w:tmpl w:val="A1A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080A"/>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2A1B"/>
    <w:rsid w:val="00046772"/>
    <w:rsid w:val="00051859"/>
    <w:rsid w:val="000533E0"/>
    <w:rsid w:val="00057EA6"/>
    <w:rsid w:val="00070C9E"/>
    <w:rsid w:val="00073F57"/>
    <w:rsid w:val="000847FE"/>
    <w:rsid w:val="00091DE0"/>
    <w:rsid w:val="00093FF3"/>
    <w:rsid w:val="00095A98"/>
    <w:rsid w:val="000A4639"/>
    <w:rsid w:val="000B5642"/>
    <w:rsid w:val="000C06FE"/>
    <w:rsid w:val="000C0786"/>
    <w:rsid w:val="000C3984"/>
    <w:rsid w:val="000D0D3C"/>
    <w:rsid w:val="000D2A57"/>
    <w:rsid w:val="000D3097"/>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0949"/>
    <w:rsid w:val="00171015"/>
    <w:rsid w:val="00181352"/>
    <w:rsid w:val="001A0DF5"/>
    <w:rsid w:val="001A5528"/>
    <w:rsid w:val="001B2061"/>
    <w:rsid w:val="001B6EE9"/>
    <w:rsid w:val="001C65E0"/>
    <w:rsid w:val="001D3B28"/>
    <w:rsid w:val="001D6AEF"/>
    <w:rsid w:val="001E0130"/>
    <w:rsid w:val="001E57C6"/>
    <w:rsid w:val="001F2693"/>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30458B"/>
    <w:rsid w:val="003079C2"/>
    <w:rsid w:val="00307AF2"/>
    <w:rsid w:val="00316F17"/>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3035"/>
    <w:rsid w:val="00403512"/>
    <w:rsid w:val="00403AB9"/>
    <w:rsid w:val="00404B0D"/>
    <w:rsid w:val="00412F72"/>
    <w:rsid w:val="00414A36"/>
    <w:rsid w:val="004152B0"/>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2390"/>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35505"/>
    <w:rsid w:val="00546CA6"/>
    <w:rsid w:val="0054769C"/>
    <w:rsid w:val="00547718"/>
    <w:rsid w:val="00555CA2"/>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376AF"/>
    <w:rsid w:val="00646632"/>
    <w:rsid w:val="00647776"/>
    <w:rsid w:val="00661B1B"/>
    <w:rsid w:val="00671552"/>
    <w:rsid w:val="00672E43"/>
    <w:rsid w:val="00682EDE"/>
    <w:rsid w:val="00684421"/>
    <w:rsid w:val="00695420"/>
    <w:rsid w:val="00695BC6"/>
    <w:rsid w:val="00696F47"/>
    <w:rsid w:val="006A5358"/>
    <w:rsid w:val="006C3376"/>
    <w:rsid w:val="006D07C2"/>
    <w:rsid w:val="006D4C3D"/>
    <w:rsid w:val="006D69D5"/>
    <w:rsid w:val="006E1F10"/>
    <w:rsid w:val="006E3B65"/>
    <w:rsid w:val="006E4555"/>
    <w:rsid w:val="006E75CA"/>
    <w:rsid w:val="006E7774"/>
    <w:rsid w:val="006F5138"/>
    <w:rsid w:val="00717F4C"/>
    <w:rsid w:val="007270BA"/>
    <w:rsid w:val="00733850"/>
    <w:rsid w:val="007377BD"/>
    <w:rsid w:val="0074196F"/>
    <w:rsid w:val="00745FCD"/>
    <w:rsid w:val="00751092"/>
    <w:rsid w:val="00751698"/>
    <w:rsid w:val="0075189F"/>
    <w:rsid w:val="00753BB7"/>
    <w:rsid w:val="0075427D"/>
    <w:rsid w:val="007602E9"/>
    <w:rsid w:val="00761406"/>
    <w:rsid w:val="00763BDB"/>
    <w:rsid w:val="0077408B"/>
    <w:rsid w:val="007772E1"/>
    <w:rsid w:val="007865F0"/>
    <w:rsid w:val="007945D6"/>
    <w:rsid w:val="00796E1D"/>
    <w:rsid w:val="007B3077"/>
    <w:rsid w:val="007B39C1"/>
    <w:rsid w:val="007B4581"/>
    <w:rsid w:val="007B58F9"/>
    <w:rsid w:val="007C56F9"/>
    <w:rsid w:val="007C6A4C"/>
    <w:rsid w:val="007C78FE"/>
    <w:rsid w:val="00801A6E"/>
    <w:rsid w:val="008037BF"/>
    <w:rsid w:val="008175EC"/>
    <w:rsid w:val="008219D6"/>
    <w:rsid w:val="008263F2"/>
    <w:rsid w:val="008278BE"/>
    <w:rsid w:val="0083007F"/>
    <w:rsid w:val="00836BDC"/>
    <w:rsid w:val="008406D3"/>
    <w:rsid w:val="00841331"/>
    <w:rsid w:val="008430A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D6E17"/>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3D97"/>
    <w:rsid w:val="00975B7D"/>
    <w:rsid w:val="00983FD8"/>
    <w:rsid w:val="00984BEE"/>
    <w:rsid w:val="00985200"/>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4B52"/>
    <w:rsid w:val="00A32C6F"/>
    <w:rsid w:val="00A35FB9"/>
    <w:rsid w:val="00A42D27"/>
    <w:rsid w:val="00A44EEC"/>
    <w:rsid w:val="00A47748"/>
    <w:rsid w:val="00A5342F"/>
    <w:rsid w:val="00A61E87"/>
    <w:rsid w:val="00A733C0"/>
    <w:rsid w:val="00A935B3"/>
    <w:rsid w:val="00AA11DB"/>
    <w:rsid w:val="00AA28A7"/>
    <w:rsid w:val="00AB233A"/>
    <w:rsid w:val="00AB2417"/>
    <w:rsid w:val="00AB4469"/>
    <w:rsid w:val="00AB630B"/>
    <w:rsid w:val="00AC34E8"/>
    <w:rsid w:val="00AC7029"/>
    <w:rsid w:val="00AD0FE3"/>
    <w:rsid w:val="00AD501F"/>
    <w:rsid w:val="00AD74F1"/>
    <w:rsid w:val="00AE1616"/>
    <w:rsid w:val="00AE226D"/>
    <w:rsid w:val="00AE2CEB"/>
    <w:rsid w:val="00AE3928"/>
    <w:rsid w:val="00AF4828"/>
    <w:rsid w:val="00B011DC"/>
    <w:rsid w:val="00B015D2"/>
    <w:rsid w:val="00B045BB"/>
    <w:rsid w:val="00B053B8"/>
    <w:rsid w:val="00B14742"/>
    <w:rsid w:val="00B21E21"/>
    <w:rsid w:val="00B24376"/>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FDC"/>
    <w:rsid w:val="00C2008E"/>
    <w:rsid w:val="00C2125D"/>
    <w:rsid w:val="00C26506"/>
    <w:rsid w:val="00C26DA6"/>
    <w:rsid w:val="00C32DB9"/>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39DB"/>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E3D08"/>
    <w:rsid w:val="00DF0ADC"/>
    <w:rsid w:val="00E06465"/>
    <w:rsid w:val="00E22A84"/>
    <w:rsid w:val="00E23A71"/>
    <w:rsid w:val="00E2579F"/>
    <w:rsid w:val="00E349CD"/>
    <w:rsid w:val="00E40437"/>
    <w:rsid w:val="00E40873"/>
    <w:rsid w:val="00E43F9F"/>
    <w:rsid w:val="00E440C8"/>
    <w:rsid w:val="00E55374"/>
    <w:rsid w:val="00E60518"/>
    <w:rsid w:val="00E8391D"/>
    <w:rsid w:val="00E91AD3"/>
    <w:rsid w:val="00E9257F"/>
    <w:rsid w:val="00EA4A2D"/>
    <w:rsid w:val="00EB2689"/>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4E32"/>
    <w:rsid w:val="00F35E62"/>
    <w:rsid w:val="00F418D6"/>
    <w:rsid w:val="00F46691"/>
    <w:rsid w:val="00F5181F"/>
    <w:rsid w:val="00F555A0"/>
    <w:rsid w:val="00F60148"/>
    <w:rsid w:val="00F6198B"/>
    <w:rsid w:val="00F72968"/>
    <w:rsid w:val="00F76D3D"/>
    <w:rsid w:val="00F872FD"/>
    <w:rsid w:val="00F90EAB"/>
    <w:rsid w:val="00F92081"/>
    <w:rsid w:val="00F92791"/>
    <w:rsid w:val="00F96633"/>
    <w:rsid w:val="00F9757A"/>
    <w:rsid w:val="00FA02C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table" w:styleId="TableGrid">
    <w:name w:val="Table Grid"/>
    <w:basedOn w:val="TableNormal"/>
    <w:uiPriority w:val="39"/>
    <w:rsid w:val="008D6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D6E17"/>
    <w:pPr>
      <w:ind w:left="720"/>
      <w:contextualSpacing/>
    </w:pPr>
    <w:rPr>
      <w:lang w:val="lv-LV"/>
    </w:rPr>
  </w:style>
  <w:style w:type="character" w:customStyle="1" w:styleId="ListParagraphChar">
    <w:name w:val="List Paragraph Char"/>
    <w:basedOn w:val="DefaultParagraphFont"/>
    <w:link w:val="ListParagraph"/>
    <w:uiPriority w:val="34"/>
    <w:locked/>
    <w:rsid w:val="008D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76283754">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Lazdins</cp:lastModifiedBy>
  <cp:revision>3</cp:revision>
  <dcterms:created xsi:type="dcterms:W3CDTF">2020-07-10T08:46:00Z</dcterms:created>
  <dcterms:modified xsi:type="dcterms:W3CDTF">2020-07-10T09:12:00Z</dcterms:modified>
</cp:coreProperties>
</file>