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775482CB" w:rsidR="00B44512" w:rsidRPr="00D81561" w:rsidRDefault="00022BF3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26.07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0F3762" w:rsidRPr="00D81561">
        <w:rPr>
          <w:b/>
          <w:sz w:val="24"/>
          <w:szCs w:val="24"/>
          <w:lang w:val="lv-LV"/>
        </w:rPr>
        <w:t>1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38724437" w:rsidR="00041B20" w:rsidRPr="00D81561" w:rsidRDefault="0035785E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Pirmajā pusgadā v</w:t>
      </w:r>
      <w:r w:rsidR="00022BF3">
        <w:rPr>
          <w:b/>
          <w:sz w:val="28"/>
          <w:szCs w:val="28"/>
          <w:lang w:val="lv-LV"/>
        </w:rPr>
        <w:t>idējās OCTA atlīdzības izmaksas lielums pārsniedzis 1300 EUR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4083027D" w:rsidR="000F3762" w:rsidRPr="00D81561" w:rsidRDefault="00450359" w:rsidP="004C7756">
      <w:pPr>
        <w:spacing w:after="0" w:line="240" w:lineRule="auto"/>
        <w:jc w:val="both"/>
        <w:rPr>
          <w:b/>
          <w:sz w:val="26"/>
          <w:szCs w:val="26"/>
          <w:lang w:val="lv-LV"/>
        </w:rPr>
      </w:pPr>
      <w:proofErr w:type="gramStart"/>
      <w:r w:rsidRPr="00D81561">
        <w:rPr>
          <w:b/>
          <w:sz w:val="26"/>
          <w:szCs w:val="26"/>
          <w:lang w:val="lv-LV"/>
        </w:rPr>
        <w:t>202</w:t>
      </w:r>
      <w:r w:rsidR="00022BF3">
        <w:rPr>
          <w:b/>
          <w:sz w:val="26"/>
          <w:szCs w:val="26"/>
          <w:lang w:val="lv-LV"/>
        </w:rPr>
        <w:t>2</w:t>
      </w:r>
      <w:r w:rsidRPr="00D81561">
        <w:rPr>
          <w:b/>
          <w:sz w:val="26"/>
          <w:szCs w:val="26"/>
          <w:lang w:val="lv-LV"/>
        </w:rPr>
        <w:t>.gad</w:t>
      </w:r>
      <w:r w:rsidR="00022BF3">
        <w:rPr>
          <w:b/>
          <w:sz w:val="26"/>
          <w:szCs w:val="26"/>
          <w:lang w:val="lv-LV"/>
        </w:rPr>
        <w:t>a</w:t>
      </w:r>
      <w:proofErr w:type="gramEnd"/>
      <w:r w:rsidR="00022BF3">
        <w:rPr>
          <w:b/>
          <w:sz w:val="26"/>
          <w:szCs w:val="26"/>
          <w:lang w:val="lv-LV"/>
        </w:rPr>
        <w:t xml:space="preserve"> pirmajos sešos mēnešos</w:t>
      </w:r>
      <w:r w:rsidR="000F3762" w:rsidRPr="00D81561">
        <w:rPr>
          <w:b/>
          <w:sz w:val="26"/>
          <w:szCs w:val="26"/>
          <w:lang w:val="lv-LV"/>
        </w:rPr>
        <w:t xml:space="preserve"> </w:t>
      </w:r>
      <w:bookmarkStart w:id="0" w:name="_Hlk109640824"/>
      <w:r w:rsidR="000F3762" w:rsidRPr="00D81561">
        <w:rPr>
          <w:b/>
          <w:sz w:val="26"/>
          <w:szCs w:val="26"/>
          <w:lang w:val="lv-LV"/>
        </w:rPr>
        <w:t xml:space="preserve">apdrošināšanas sabiedrības un Latvijas Transportlīdzekļu apdrošinātāju birojs (turpmāk- LTAB) kopā </w:t>
      </w:r>
      <w:r w:rsidR="00651447" w:rsidRPr="00D81561">
        <w:rPr>
          <w:b/>
          <w:sz w:val="26"/>
          <w:szCs w:val="26"/>
          <w:lang w:val="lv-LV"/>
        </w:rPr>
        <w:t xml:space="preserve">pieņēmuši lēmumus par </w:t>
      </w:r>
      <w:r w:rsidR="000F3762" w:rsidRPr="00D81561">
        <w:rPr>
          <w:b/>
          <w:sz w:val="26"/>
          <w:szCs w:val="26"/>
          <w:lang w:val="lv-LV"/>
        </w:rPr>
        <w:t xml:space="preserve">OCTA </w:t>
      </w:r>
      <w:r w:rsidR="00651447" w:rsidRPr="00D81561">
        <w:rPr>
          <w:b/>
          <w:sz w:val="26"/>
          <w:szCs w:val="26"/>
          <w:lang w:val="lv-LV"/>
        </w:rPr>
        <w:t>atlīdzību izmaksu</w:t>
      </w:r>
      <w:r w:rsidR="000F3762" w:rsidRPr="00D81561">
        <w:rPr>
          <w:b/>
          <w:sz w:val="26"/>
          <w:szCs w:val="26"/>
          <w:lang w:val="lv-LV"/>
        </w:rPr>
        <w:t xml:space="preserve"> </w:t>
      </w:r>
      <w:r w:rsidR="00022BF3">
        <w:rPr>
          <w:b/>
          <w:sz w:val="26"/>
          <w:szCs w:val="26"/>
          <w:lang w:val="lv-LV"/>
        </w:rPr>
        <w:t>30,14</w:t>
      </w:r>
      <w:r w:rsidR="000F3762" w:rsidRPr="00D81561">
        <w:rPr>
          <w:b/>
          <w:sz w:val="26"/>
          <w:szCs w:val="26"/>
          <w:lang w:val="lv-LV"/>
        </w:rPr>
        <w:t xml:space="preserve"> miljonu EUR</w:t>
      </w:r>
      <w:r w:rsidR="00651447" w:rsidRPr="00D81561">
        <w:rPr>
          <w:b/>
          <w:sz w:val="26"/>
          <w:szCs w:val="26"/>
          <w:lang w:val="lv-LV"/>
        </w:rPr>
        <w:t xml:space="preserve"> apmērā</w:t>
      </w:r>
      <w:r w:rsidR="001B7E14">
        <w:rPr>
          <w:b/>
          <w:sz w:val="26"/>
          <w:szCs w:val="26"/>
          <w:lang w:val="lv-LV"/>
        </w:rPr>
        <w:t>, kas ir par gandrīz 15% vairāk nekā attiecīgā periodā pērn</w:t>
      </w:r>
      <w:bookmarkEnd w:id="0"/>
      <w:r w:rsidR="000F3762" w:rsidRPr="00D81561">
        <w:rPr>
          <w:b/>
          <w:sz w:val="26"/>
          <w:szCs w:val="26"/>
          <w:lang w:val="lv-LV"/>
        </w:rPr>
        <w:t xml:space="preserve">. </w:t>
      </w:r>
      <w:r w:rsidR="00022BF3">
        <w:rPr>
          <w:b/>
          <w:sz w:val="26"/>
          <w:szCs w:val="26"/>
          <w:lang w:val="lv-LV"/>
        </w:rPr>
        <w:t>Turpina pieaugt arī vidējās OCTA atlīdzības lielums</w:t>
      </w:r>
      <w:r w:rsidR="000F3762" w:rsidRPr="00D81561">
        <w:rPr>
          <w:b/>
          <w:sz w:val="26"/>
          <w:szCs w:val="26"/>
          <w:lang w:val="lv-LV"/>
        </w:rPr>
        <w:t>.</w:t>
      </w:r>
      <w:r w:rsidR="00D81561" w:rsidRPr="00D81561">
        <w:rPr>
          <w:b/>
          <w:sz w:val="26"/>
          <w:szCs w:val="26"/>
          <w:lang w:val="lv-LV"/>
        </w:rPr>
        <w:t xml:space="preserve"> 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16E206C3" w14:textId="11CF113F" w:rsidR="00DC23E2" w:rsidRDefault="00022BF3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r w:rsidRPr="00022BF3">
        <w:rPr>
          <w:sz w:val="24"/>
          <w:szCs w:val="24"/>
          <w:lang w:val="lv-LV"/>
        </w:rPr>
        <w:t xml:space="preserve">LTAB apkopotā statistika </w:t>
      </w:r>
      <w:r>
        <w:rPr>
          <w:sz w:val="24"/>
          <w:szCs w:val="24"/>
          <w:lang w:val="lv-LV"/>
        </w:rPr>
        <w:t xml:space="preserve">par </w:t>
      </w:r>
      <w:proofErr w:type="gramStart"/>
      <w:r>
        <w:rPr>
          <w:sz w:val="24"/>
          <w:szCs w:val="24"/>
          <w:lang w:val="lv-LV"/>
        </w:rPr>
        <w:t>2022.gada</w:t>
      </w:r>
      <w:proofErr w:type="gramEnd"/>
      <w:r>
        <w:rPr>
          <w:sz w:val="24"/>
          <w:szCs w:val="24"/>
          <w:lang w:val="lv-LV"/>
        </w:rPr>
        <w:t xml:space="preserve"> pirmajiem sešiem mēnešiem </w:t>
      </w:r>
      <w:r w:rsidRPr="00022BF3">
        <w:rPr>
          <w:sz w:val="24"/>
          <w:szCs w:val="24"/>
          <w:lang w:val="lv-LV"/>
        </w:rPr>
        <w:t xml:space="preserve">liecina, ka </w:t>
      </w:r>
      <w:r w:rsidR="00DC23E2">
        <w:rPr>
          <w:sz w:val="24"/>
          <w:szCs w:val="24"/>
          <w:lang w:val="lv-LV"/>
        </w:rPr>
        <w:t xml:space="preserve">vidējā OCTA atlīdzība </w:t>
      </w:r>
      <w:r w:rsidR="00161720">
        <w:rPr>
          <w:sz w:val="24"/>
          <w:szCs w:val="24"/>
          <w:lang w:val="lv-LV"/>
        </w:rPr>
        <w:t>sasniegusi</w:t>
      </w:r>
      <w:r w:rsidR="00DC23E2">
        <w:rPr>
          <w:sz w:val="24"/>
          <w:szCs w:val="24"/>
          <w:lang w:val="lv-LV"/>
        </w:rPr>
        <w:t xml:space="preserve"> 1305 EUR. “</w:t>
      </w:r>
      <w:r w:rsidR="00161720">
        <w:rPr>
          <w:sz w:val="24"/>
          <w:szCs w:val="24"/>
          <w:lang w:val="lv-LV"/>
        </w:rPr>
        <w:t>Salīdzinot</w:t>
      </w:r>
      <w:r w:rsidR="00DC23E2">
        <w:rPr>
          <w:sz w:val="24"/>
          <w:szCs w:val="24"/>
          <w:lang w:val="lv-LV"/>
        </w:rPr>
        <w:t xml:space="preserve"> </w:t>
      </w:r>
      <w:r w:rsidR="0035785E">
        <w:rPr>
          <w:sz w:val="24"/>
          <w:szCs w:val="24"/>
          <w:lang w:val="lv-LV"/>
        </w:rPr>
        <w:t xml:space="preserve">pirmo sešu mēnešu </w:t>
      </w:r>
      <w:r w:rsidR="00DC23E2">
        <w:rPr>
          <w:sz w:val="24"/>
          <w:szCs w:val="24"/>
          <w:lang w:val="lv-LV"/>
        </w:rPr>
        <w:t>datus par pēdējiem pieciem gadiem,</w:t>
      </w:r>
      <w:r w:rsidRPr="00022BF3">
        <w:rPr>
          <w:sz w:val="24"/>
          <w:szCs w:val="24"/>
          <w:lang w:val="lv-LV"/>
        </w:rPr>
        <w:t xml:space="preserve"> vidējā apdrošināšanas atlīdzība </w:t>
      </w:r>
      <w:r w:rsidR="00DC23E2">
        <w:rPr>
          <w:sz w:val="24"/>
          <w:szCs w:val="24"/>
          <w:lang w:val="lv-LV"/>
        </w:rPr>
        <w:t>pieaugusi par 27% (</w:t>
      </w:r>
      <w:proofErr w:type="gramStart"/>
      <w:r w:rsidR="00DC23E2">
        <w:rPr>
          <w:sz w:val="24"/>
          <w:szCs w:val="24"/>
          <w:lang w:val="lv-LV"/>
        </w:rPr>
        <w:t>2018.gada</w:t>
      </w:r>
      <w:proofErr w:type="gramEnd"/>
      <w:r w:rsidR="00DC23E2">
        <w:rPr>
          <w:sz w:val="24"/>
          <w:szCs w:val="24"/>
          <w:lang w:val="lv-LV"/>
        </w:rPr>
        <w:t xml:space="preserve"> pirmajā pusgadā </w:t>
      </w:r>
      <w:r w:rsidR="00161720">
        <w:rPr>
          <w:sz w:val="24"/>
          <w:szCs w:val="24"/>
          <w:lang w:val="lv-LV"/>
        </w:rPr>
        <w:t>tā bija</w:t>
      </w:r>
      <w:r w:rsidR="00DC23E2">
        <w:rPr>
          <w:sz w:val="24"/>
          <w:szCs w:val="24"/>
          <w:lang w:val="lv-LV"/>
        </w:rPr>
        <w:t xml:space="preserve"> 905 EUR), savukārt salīdzinājumā ar pērnā gada pirmo pusgadu – par gandrīz 9% (pērn 1193 EUR),” stāsta LTAB valdes priekšsēdētājs Jānis Abāšins</w:t>
      </w:r>
      <w:r w:rsidR="001B7E14">
        <w:rPr>
          <w:sz w:val="24"/>
          <w:szCs w:val="24"/>
          <w:lang w:val="lv-LV"/>
        </w:rPr>
        <w:t>, piebilstot, ka ievērojamais</w:t>
      </w:r>
      <w:r w:rsidR="001B7E14" w:rsidRPr="001B7E14">
        <w:rPr>
          <w:sz w:val="24"/>
          <w:szCs w:val="24"/>
          <w:lang w:val="lv-LV"/>
        </w:rPr>
        <w:t xml:space="preserve"> vidējās atlīdzības pieaugums saistīts ar pieaugošo inflāciju, auto remonta, medicīnas un rehabilitācijas pakalpojumu cenu </w:t>
      </w:r>
      <w:r w:rsidR="001B7E14">
        <w:rPr>
          <w:sz w:val="24"/>
          <w:szCs w:val="24"/>
          <w:lang w:val="lv-LV"/>
        </w:rPr>
        <w:t>kāpumu</w:t>
      </w:r>
      <w:r w:rsidR="00B2160E">
        <w:rPr>
          <w:sz w:val="24"/>
          <w:szCs w:val="24"/>
          <w:lang w:val="lv-LV"/>
        </w:rPr>
        <w:t>.</w:t>
      </w:r>
    </w:p>
    <w:p w14:paraId="73BE409E" w14:textId="77777777" w:rsidR="001B7E14" w:rsidRPr="001B7E14" w:rsidRDefault="001B7E14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24C3116" w14:textId="0BFAB164" w:rsidR="00557E48" w:rsidRDefault="00A536AA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proofErr w:type="gramStart"/>
      <w:r w:rsidRPr="004C7756">
        <w:rPr>
          <w:sz w:val="24"/>
          <w:szCs w:val="24"/>
          <w:lang w:val="lv-LV"/>
        </w:rPr>
        <w:t>202</w:t>
      </w:r>
      <w:r w:rsidR="001B7E14">
        <w:rPr>
          <w:sz w:val="24"/>
          <w:szCs w:val="24"/>
          <w:lang w:val="lv-LV"/>
        </w:rPr>
        <w:t>2</w:t>
      </w:r>
      <w:r w:rsidRPr="004C7756">
        <w:rPr>
          <w:sz w:val="24"/>
          <w:szCs w:val="24"/>
          <w:lang w:val="lv-LV"/>
        </w:rPr>
        <w:t>.gad</w:t>
      </w:r>
      <w:r w:rsidR="001B7E14">
        <w:rPr>
          <w:sz w:val="24"/>
          <w:szCs w:val="24"/>
          <w:lang w:val="lv-LV"/>
        </w:rPr>
        <w:t>a</w:t>
      </w:r>
      <w:proofErr w:type="gramEnd"/>
      <w:r w:rsidR="001B7E14">
        <w:rPr>
          <w:sz w:val="24"/>
          <w:szCs w:val="24"/>
          <w:lang w:val="lv-LV"/>
        </w:rPr>
        <w:t xml:space="preserve"> pirmajā pusgadā</w:t>
      </w:r>
      <w:r w:rsidRPr="004C7756">
        <w:rPr>
          <w:sz w:val="24"/>
          <w:szCs w:val="24"/>
          <w:lang w:val="lv-LV"/>
        </w:rPr>
        <w:t xml:space="preserve"> kopējais apdrošinātājiem pieteikto </w:t>
      </w:r>
      <w:r w:rsidR="00450359">
        <w:rPr>
          <w:sz w:val="24"/>
          <w:szCs w:val="24"/>
          <w:lang w:val="lv-LV"/>
        </w:rPr>
        <w:t xml:space="preserve">ceļu satiksmes </w:t>
      </w:r>
      <w:r w:rsidRPr="004C7756">
        <w:rPr>
          <w:sz w:val="24"/>
          <w:szCs w:val="24"/>
          <w:lang w:val="lv-LV"/>
        </w:rPr>
        <w:t>negadījumu</w:t>
      </w:r>
      <w:r w:rsidR="00450359">
        <w:rPr>
          <w:sz w:val="24"/>
          <w:szCs w:val="24"/>
          <w:lang w:val="lv-LV"/>
        </w:rPr>
        <w:t xml:space="preserve"> (turpmāk – </w:t>
      </w:r>
      <w:proofErr w:type="spellStart"/>
      <w:r w:rsidR="00450359">
        <w:rPr>
          <w:sz w:val="24"/>
          <w:szCs w:val="24"/>
          <w:lang w:val="lv-LV"/>
        </w:rPr>
        <w:t>CSNg</w:t>
      </w:r>
      <w:proofErr w:type="spellEnd"/>
      <w:r w:rsidR="00450359">
        <w:rPr>
          <w:sz w:val="24"/>
          <w:szCs w:val="24"/>
          <w:lang w:val="lv-LV"/>
        </w:rPr>
        <w:t>)</w:t>
      </w:r>
      <w:r w:rsidRPr="004C7756">
        <w:rPr>
          <w:sz w:val="24"/>
          <w:szCs w:val="24"/>
          <w:lang w:val="lv-LV"/>
        </w:rPr>
        <w:t xml:space="preserve"> skaits bija </w:t>
      </w:r>
      <w:r w:rsidR="001B7E14">
        <w:rPr>
          <w:sz w:val="24"/>
          <w:szCs w:val="24"/>
          <w:lang w:val="lv-LV"/>
        </w:rPr>
        <w:t>15172</w:t>
      </w:r>
      <w:r w:rsidR="00161720">
        <w:rPr>
          <w:sz w:val="24"/>
          <w:szCs w:val="24"/>
          <w:lang w:val="lv-LV"/>
        </w:rPr>
        <w:t>, kas ir par gandrīz 3% vairāk nekā pērnā gada pirmajos 6 mēnešos</w:t>
      </w:r>
      <w:r w:rsidRPr="004C7756">
        <w:rPr>
          <w:sz w:val="24"/>
          <w:szCs w:val="24"/>
          <w:lang w:val="lv-LV"/>
        </w:rPr>
        <w:t xml:space="preserve">. </w:t>
      </w:r>
      <w:r w:rsidR="00161720">
        <w:rPr>
          <w:sz w:val="24"/>
          <w:szCs w:val="24"/>
          <w:lang w:val="lv-LV"/>
        </w:rPr>
        <w:t>A</w:t>
      </w:r>
      <w:r w:rsidR="00161720" w:rsidRPr="00161720">
        <w:rPr>
          <w:sz w:val="24"/>
          <w:szCs w:val="24"/>
          <w:lang w:val="lv-LV"/>
        </w:rPr>
        <w:t xml:space="preserve">pdrošināšanas sabiedrības un </w:t>
      </w:r>
      <w:r w:rsidR="00161720">
        <w:rPr>
          <w:sz w:val="24"/>
          <w:szCs w:val="24"/>
          <w:lang w:val="lv-LV"/>
        </w:rPr>
        <w:t>LTAB</w:t>
      </w:r>
      <w:r w:rsidR="00161720" w:rsidRPr="00161720">
        <w:rPr>
          <w:sz w:val="24"/>
          <w:szCs w:val="24"/>
          <w:lang w:val="lv-LV"/>
        </w:rPr>
        <w:t xml:space="preserve"> kopā pieņēmuši lēmumus par OCTA atlīdzību izmaksu 30,14 miljonu EUR apmērā, kas ir par gandrīz 15% vairāk nekā attiecīgā periodā pērn</w:t>
      </w:r>
      <w:r w:rsidR="00161720">
        <w:rPr>
          <w:sz w:val="24"/>
          <w:szCs w:val="24"/>
          <w:lang w:val="lv-LV"/>
        </w:rPr>
        <w:t xml:space="preserve">. </w:t>
      </w:r>
      <w:r w:rsidR="004C7756" w:rsidRPr="004C7756">
        <w:rPr>
          <w:color w:val="000000"/>
          <w:sz w:val="24"/>
          <w:szCs w:val="24"/>
          <w:lang w:val="lv-LV" w:eastAsia="lv-LV"/>
        </w:rPr>
        <w:t>Visvairāk apdrošinātāji atlīdzinājuši nodarītos zaudējumus transportlīdzeklim (7</w:t>
      </w:r>
      <w:r w:rsidR="00161720">
        <w:rPr>
          <w:color w:val="000000"/>
          <w:sz w:val="24"/>
          <w:szCs w:val="24"/>
          <w:lang w:val="lv-LV" w:eastAsia="lv-LV"/>
        </w:rPr>
        <w:t>6</w:t>
      </w:r>
      <w:r w:rsidR="004C7756" w:rsidRPr="004C7756">
        <w:rPr>
          <w:color w:val="000000"/>
          <w:sz w:val="24"/>
          <w:szCs w:val="24"/>
          <w:lang w:val="lv-LV" w:eastAsia="lv-LV"/>
        </w:rPr>
        <w:t>,</w:t>
      </w:r>
      <w:r w:rsidR="00D81561">
        <w:rPr>
          <w:color w:val="000000"/>
          <w:sz w:val="24"/>
          <w:szCs w:val="24"/>
          <w:lang w:val="lv-LV" w:eastAsia="lv-LV"/>
        </w:rPr>
        <w:t>1</w:t>
      </w:r>
      <w:r w:rsidR="004C7756" w:rsidRPr="004C7756">
        <w:rPr>
          <w:color w:val="000000"/>
          <w:sz w:val="24"/>
          <w:szCs w:val="24"/>
          <w:lang w:val="lv-LV" w:eastAsia="lv-LV"/>
        </w:rPr>
        <w:t>%), cietušajām personām (</w:t>
      </w:r>
      <w:r w:rsidR="00161720">
        <w:rPr>
          <w:color w:val="000000"/>
          <w:sz w:val="24"/>
          <w:szCs w:val="24"/>
          <w:lang w:val="lv-LV" w:eastAsia="lv-LV"/>
        </w:rPr>
        <w:t>10,5</w:t>
      </w:r>
      <w:r w:rsidR="004C7756" w:rsidRPr="004C7756">
        <w:rPr>
          <w:color w:val="000000"/>
          <w:sz w:val="24"/>
          <w:szCs w:val="24"/>
          <w:lang w:val="lv-LV" w:eastAsia="lv-LV"/>
        </w:rPr>
        <w:t xml:space="preserve">%) un valsts, pašvaldību iestādēm par </w:t>
      </w:r>
      <w:proofErr w:type="spellStart"/>
      <w:r w:rsidR="004C7756" w:rsidRPr="004C7756">
        <w:rPr>
          <w:color w:val="000000"/>
          <w:sz w:val="24"/>
          <w:szCs w:val="24"/>
          <w:lang w:val="lv-LV" w:eastAsia="lv-LV"/>
        </w:rPr>
        <w:t>CSNg</w:t>
      </w:r>
      <w:proofErr w:type="spellEnd"/>
      <w:r w:rsidR="004C7756" w:rsidRPr="004C7756">
        <w:rPr>
          <w:color w:val="000000"/>
          <w:sz w:val="24"/>
          <w:szCs w:val="24"/>
          <w:lang w:val="lv-LV" w:eastAsia="lv-LV"/>
        </w:rPr>
        <w:t xml:space="preserve"> cietušo ārstēšanu, uzturēšanu ārstniecības iestādēs, kā arī izmaksātajiem pabalstiem (</w:t>
      </w:r>
      <w:r w:rsidR="00D81561">
        <w:rPr>
          <w:color w:val="000000"/>
          <w:sz w:val="24"/>
          <w:szCs w:val="24"/>
          <w:lang w:val="lv-LV" w:eastAsia="lv-LV"/>
        </w:rPr>
        <w:t>6,</w:t>
      </w:r>
      <w:r w:rsidR="00161720">
        <w:rPr>
          <w:color w:val="000000"/>
          <w:sz w:val="24"/>
          <w:szCs w:val="24"/>
          <w:lang w:val="lv-LV" w:eastAsia="lv-LV"/>
        </w:rPr>
        <w:t>4</w:t>
      </w:r>
      <w:r w:rsidR="004C7756" w:rsidRPr="004C7756">
        <w:rPr>
          <w:color w:val="000000"/>
          <w:sz w:val="24"/>
          <w:szCs w:val="24"/>
          <w:lang w:val="lv-LV" w:eastAsia="lv-LV"/>
        </w:rPr>
        <w:t>%).</w:t>
      </w:r>
    </w:p>
    <w:p w14:paraId="2B74002D" w14:textId="1C3796B1" w:rsidR="00761438" w:rsidRDefault="00761438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672634BF" w14:textId="18A877D9" w:rsidR="00761438" w:rsidRDefault="00761438" w:rsidP="00761438">
      <w:pPr>
        <w:spacing w:after="0" w:line="240" w:lineRule="auto"/>
        <w:jc w:val="both"/>
        <w:rPr>
          <w:sz w:val="24"/>
          <w:szCs w:val="24"/>
          <w:lang w:val="lv-LV"/>
        </w:rPr>
      </w:pPr>
      <w:r w:rsidRPr="00EE207A">
        <w:rPr>
          <w:sz w:val="24"/>
          <w:szCs w:val="24"/>
          <w:lang w:val="lv-LV"/>
        </w:rPr>
        <w:t xml:space="preserve">“Runājot par izmaksām, kas veidojas apdrošinātājiem, visbiežāk tiek </w:t>
      </w:r>
      <w:r>
        <w:rPr>
          <w:sz w:val="24"/>
          <w:szCs w:val="24"/>
          <w:lang w:val="lv-LV"/>
        </w:rPr>
        <w:t>runāts par atlīdzībām</w:t>
      </w:r>
      <w:r w:rsidRPr="00EE207A">
        <w:rPr>
          <w:sz w:val="24"/>
          <w:szCs w:val="24"/>
          <w:lang w:val="lv-LV"/>
        </w:rPr>
        <w:t xml:space="preserve"> transportlīdzekļa bojājumu novēršanai, taču nepamatoti tiek aizmirstas apdrošinātāju veiktās izmaksas, atlīdzinot </w:t>
      </w:r>
      <w:r>
        <w:rPr>
          <w:sz w:val="24"/>
          <w:szCs w:val="24"/>
          <w:lang w:val="lv-LV"/>
        </w:rPr>
        <w:t xml:space="preserve">personai nodarītos zaudējumus veselībai, kā arī </w:t>
      </w:r>
      <w:r w:rsidRPr="00EE207A">
        <w:rPr>
          <w:sz w:val="24"/>
          <w:szCs w:val="24"/>
          <w:lang w:val="lv-LV"/>
        </w:rPr>
        <w:t>valstij</w:t>
      </w:r>
      <w:r>
        <w:rPr>
          <w:sz w:val="24"/>
          <w:szCs w:val="24"/>
          <w:lang w:val="lv-LV"/>
        </w:rPr>
        <w:t>, kompensējot</w:t>
      </w:r>
      <w:r w:rsidRPr="00EE207A">
        <w:rPr>
          <w:sz w:val="24"/>
          <w:szCs w:val="24"/>
          <w:lang w:val="lv-LV"/>
        </w:rPr>
        <w:t xml:space="preserve"> radušos izdevumus par </w:t>
      </w:r>
      <w:proofErr w:type="spellStart"/>
      <w:r w:rsidRPr="00EE207A">
        <w:rPr>
          <w:sz w:val="24"/>
          <w:szCs w:val="24"/>
          <w:lang w:val="lv-LV"/>
        </w:rPr>
        <w:t>CSNg</w:t>
      </w:r>
      <w:proofErr w:type="spellEnd"/>
      <w:r w:rsidRPr="00EE207A">
        <w:rPr>
          <w:sz w:val="24"/>
          <w:szCs w:val="24"/>
          <w:lang w:val="lv-LV"/>
        </w:rPr>
        <w:t xml:space="preserve"> cietušo ārstēšanu, uzturēšanu ārstniecības iestādēs, kā arī izmaksātajiem pabalstiem. </w:t>
      </w:r>
      <w:r>
        <w:rPr>
          <w:sz w:val="24"/>
          <w:szCs w:val="24"/>
          <w:lang w:val="lv-LV"/>
        </w:rPr>
        <w:t>Šīs izmaksu pozīcijas gadu no gada pieaug, t</w:t>
      </w:r>
      <w:r w:rsidRPr="00EE207A">
        <w:rPr>
          <w:sz w:val="24"/>
          <w:szCs w:val="24"/>
          <w:lang w:val="lv-LV"/>
        </w:rPr>
        <w:t xml:space="preserve">urklāt ārstēšanās un rehabilitācija, kā arī valsts pabalstu izmaksa pēc </w:t>
      </w:r>
      <w:proofErr w:type="spellStart"/>
      <w:r w:rsidRPr="00EE207A">
        <w:rPr>
          <w:sz w:val="24"/>
          <w:szCs w:val="24"/>
          <w:lang w:val="lv-LV"/>
        </w:rPr>
        <w:t>CSNg</w:t>
      </w:r>
      <w:proofErr w:type="spellEnd"/>
      <w:r w:rsidRPr="00EE207A">
        <w:rPr>
          <w:sz w:val="24"/>
          <w:szCs w:val="24"/>
          <w:lang w:val="lv-LV"/>
        </w:rPr>
        <w:t xml:space="preserve"> var ilgt vairāku gadu vai pat visa mūža garumā, kas nozīmē, ka </w:t>
      </w:r>
      <w:r>
        <w:rPr>
          <w:sz w:val="24"/>
          <w:szCs w:val="24"/>
          <w:lang w:val="lv-LV"/>
        </w:rPr>
        <w:t>šogad</w:t>
      </w:r>
      <w:r w:rsidR="003F169A">
        <w:rPr>
          <w:sz w:val="24"/>
          <w:szCs w:val="24"/>
          <w:lang w:val="lv-LV"/>
        </w:rPr>
        <w:t xml:space="preserve"> tiek un turpmākajos gados</w:t>
      </w:r>
      <w:r w:rsidRPr="00EE207A">
        <w:rPr>
          <w:sz w:val="24"/>
          <w:szCs w:val="24"/>
          <w:lang w:val="lv-LV"/>
        </w:rPr>
        <w:t xml:space="preserve"> ti</w:t>
      </w:r>
      <w:r w:rsidR="003F169A">
        <w:rPr>
          <w:sz w:val="24"/>
          <w:szCs w:val="24"/>
          <w:lang w:val="lv-LV"/>
        </w:rPr>
        <w:t>ks</w:t>
      </w:r>
      <w:r w:rsidRPr="00EE207A">
        <w:rPr>
          <w:sz w:val="24"/>
          <w:szCs w:val="24"/>
          <w:lang w:val="lv-LV"/>
        </w:rPr>
        <w:t xml:space="preserve"> atlīdzināti zaudējumi par </w:t>
      </w:r>
      <w:proofErr w:type="spellStart"/>
      <w:r w:rsidRPr="00EE207A">
        <w:rPr>
          <w:sz w:val="24"/>
          <w:szCs w:val="24"/>
          <w:lang w:val="lv-LV"/>
        </w:rPr>
        <w:t>CSNg</w:t>
      </w:r>
      <w:proofErr w:type="spellEnd"/>
      <w:r w:rsidRPr="00EE207A">
        <w:rPr>
          <w:sz w:val="24"/>
          <w:szCs w:val="24"/>
          <w:lang w:val="lv-LV"/>
        </w:rPr>
        <w:t xml:space="preserve">, kas notikuši </w:t>
      </w:r>
      <w:r w:rsidR="003F169A">
        <w:rPr>
          <w:sz w:val="24"/>
          <w:szCs w:val="24"/>
          <w:lang w:val="lv-LV"/>
        </w:rPr>
        <w:t>iepriekšējos gados,</w:t>
      </w:r>
      <w:r w:rsidRPr="00EE207A">
        <w:rPr>
          <w:sz w:val="24"/>
          <w:szCs w:val="24"/>
          <w:lang w:val="lv-LV"/>
        </w:rPr>
        <w:t xml:space="preserve">” stāsta LTAB valdes </w:t>
      </w:r>
      <w:r>
        <w:rPr>
          <w:sz w:val="24"/>
          <w:szCs w:val="24"/>
          <w:lang w:val="lv-LV"/>
        </w:rPr>
        <w:t>priekšsēdētājs</w:t>
      </w:r>
      <w:r w:rsidRPr="00EE207A">
        <w:rPr>
          <w:sz w:val="24"/>
          <w:szCs w:val="24"/>
          <w:lang w:val="lv-LV"/>
        </w:rPr>
        <w:t>.</w:t>
      </w:r>
    </w:p>
    <w:p w14:paraId="3C19BB69" w14:textId="77777777" w:rsidR="004C7756" w:rsidRPr="004C7756" w:rsidRDefault="004C775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54EADA99" w14:textId="1AA0640C" w:rsidR="00605F87" w:rsidRPr="004C7756" w:rsidRDefault="00605F87" w:rsidP="00C40833">
      <w:pPr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, </w:t>
      </w:r>
      <w:r w:rsidRPr="004C7756">
        <w:rPr>
          <w:sz w:val="24"/>
          <w:szCs w:val="24"/>
        </w:rPr>
        <w:t xml:space="preserve">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 un </w:t>
      </w:r>
      <w:r w:rsidR="00DA1A05" w:rsidRPr="00DA1A05">
        <w:rPr>
          <w:sz w:val="24"/>
          <w:szCs w:val="24"/>
        </w:rPr>
        <w:t>«</w:t>
      </w:r>
      <w:proofErr w:type="spellStart"/>
      <w:r w:rsidR="00DA1A05" w:rsidRPr="00DA1A05">
        <w:rPr>
          <w:sz w:val="24"/>
          <w:szCs w:val="24"/>
        </w:rPr>
        <w:t>Balcia</w:t>
      </w:r>
      <w:proofErr w:type="spellEnd"/>
      <w:r w:rsidR="00DA1A05" w:rsidRPr="00DA1A05">
        <w:rPr>
          <w:sz w:val="24"/>
          <w:szCs w:val="24"/>
        </w:rPr>
        <w:t xml:space="preserve"> Insurance» SE</w:t>
      </w:r>
      <w:r w:rsidRPr="004C7756">
        <w:rPr>
          <w:sz w:val="24"/>
          <w:szCs w:val="24"/>
        </w:rPr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161720">
      <w:headerReference w:type="default" r:id="rId7"/>
      <w:footerReference w:type="default" r:id="rId8"/>
      <w:pgSz w:w="11906" w:h="16838"/>
      <w:pgMar w:top="1280" w:right="1274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BF3A" w14:textId="77777777" w:rsidR="00341DDC" w:rsidRDefault="00341DDC" w:rsidP="00C62AF7">
      <w:pPr>
        <w:spacing w:after="0" w:line="240" w:lineRule="auto"/>
      </w:pPr>
      <w:r>
        <w:separator/>
      </w:r>
    </w:p>
  </w:endnote>
  <w:endnote w:type="continuationSeparator" w:id="0">
    <w:p w14:paraId="3BD956D0" w14:textId="77777777" w:rsidR="00341DDC" w:rsidRDefault="00341DDC" w:rsidP="00C62AF7">
      <w:pPr>
        <w:spacing w:after="0" w:line="240" w:lineRule="auto"/>
      </w:pPr>
      <w:r>
        <w:continuationSeparator/>
      </w:r>
    </w:p>
  </w:endnote>
  <w:endnote w:type="continuationNotice" w:id="1">
    <w:p w14:paraId="1DE3C4A3" w14:textId="77777777" w:rsidR="00341DDC" w:rsidRDefault="00341D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64F7" w14:textId="77777777" w:rsidR="00341DDC" w:rsidRDefault="00341DDC" w:rsidP="00C62AF7">
      <w:pPr>
        <w:spacing w:after="0" w:line="240" w:lineRule="auto"/>
      </w:pPr>
      <w:r>
        <w:separator/>
      </w:r>
    </w:p>
  </w:footnote>
  <w:footnote w:type="continuationSeparator" w:id="0">
    <w:p w14:paraId="6AF1E43C" w14:textId="77777777" w:rsidR="00341DDC" w:rsidRDefault="00341DDC" w:rsidP="00C62AF7">
      <w:pPr>
        <w:spacing w:after="0" w:line="240" w:lineRule="auto"/>
      </w:pPr>
      <w:r>
        <w:continuationSeparator/>
      </w:r>
    </w:p>
  </w:footnote>
  <w:footnote w:type="continuationNotice" w:id="1">
    <w:p w14:paraId="5D8B4C81" w14:textId="77777777" w:rsidR="00341DDC" w:rsidRDefault="00341D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12BE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1EA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1039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2022-07-26T07:50:00Z</dcterms:created>
  <dcterms:modified xsi:type="dcterms:W3CDTF">2022-07-26T07:50:00Z</dcterms:modified>
</cp:coreProperties>
</file>