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2B0D12FA" w:rsidR="00B44512" w:rsidRPr="00D81561" w:rsidRDefault="00302B24" w:rsidP="004C7756">
      <w:pPr>
        <w:spacing w:after="0" w:line="240" w:lineRule="auto"/>
        <w:jc w:val="right"/>
        <w:rPr>
          <w:b/>
          <w:sz w:val="24"/>
          <w:szCs w:val="24"/>
          <w:lang w:val="lv-LV"/>
        </w:rPr>
      </w:pPr>
      <w:r>
        <w:rPr>
          <w:b/>
          <w:sz w:val="24"/>
          <w:szCs w:val="24"/>
          <w:lang w:val="lv-LV"/>
        </w:rPr>
        <w:t>01.11.2022.</w:t>
      </w:r>
    </w:p>
    <w:p w14:paraId="596E6553" w14:textId="77777777" w:rsidR="00042A1B" w:rsidRPr="00031F20" w:rsidRDefault="00042A1B" w:rsidP="004C7756">
      <w:pPr>
        <w:spacing w:after="0" w:line="240" w:lineRule="auto"/>
        <w:jc w:val="right"/>
        <w:rPr>
          <w:b/>
          <w:lang w:val="lv-LV"/>
        </w:rPr>
      </w:pPr>
    </w:p>
    <w:p w14:paraId="46315188" w14:textId="1DB37278" w:rsidR="00041B20" w:rsidRPr="00D81561" w:rsidRDefault="00302B24" w:rsidP="004C7756">
      <w:pPr>
        <w:spacing w:after="0" w:line="240" w:lineRule="auto"/>
        <w:jc w:val="both"/>
        <w:rPr>
          <w:b/>
          <w:sz w:val="28"/>
          <w:szCs w:val="28"/>
          <w:lang w:val="lv-LV"/>
        </w:rPr>
      </w:pPr>
      <w:r>
        <w:rPr>
          <w:b/>
          <w:sz w:val="28"/>
          <w:szCs w:val="28"/>
          <w:lang w:val="lv-LV"/>
        </w:rPr>
        <w:t>Vidējā</w:t>
      </w:r>
      <w:r w:rsidR="00022BF3">
        <w:rPr>
          <w:b/>
          <w:sz w:val="28"/>
          <w:szCs w:val="28"/>
          <w:lang w:val="lv-LV"/>
        </w:rPr>
        <w:t xml:space="preserve"> OCTA atlīdzība </w:t>
      </w:r>
      <w:r>
        <w:rPr>
          <w:b/>
          <w:sz w:val="28"/>
          <w:szCs w:val="28"/>
          <w:lang w:val="lv-LV"/>
        </w:rPr>
        <w:t>turpina pieaugt; tuvojas 1400 EUR atzīmei</w:t>
      </w:r>
    </w:p>
    <w:p w14:paraId="3163D01E" w14:textId="77777777" w:rsidR="004C7756" w:rsidRPr="000F3762" w:rsidRDefault="004C7756" w:rsidP="004C7756">
      <w:pPr>
        <w:spacing w:after="0" w:line="240" w:lineRule="auto"/>
        <w:jc w:val="both"/>
        <w:rPr>
          <w:b/>
          <w:sz w:val="24"/>
          <w:szCs w:val="24"/>
          <w:lang w:val="lv-LV"/>
        </w:rPr>
      </w:pPr>
    </w:p>
    <w:p w14:paraId="640A0315" w14:textId="46149F63" w:rsidR="000F3762" w:rsidRPr="00D81561" w:rsidRDefault="00450359" w:rsidP="004C7756">
      <w:pPr>
        <w:spacing w:after="0" w:line="240" w:lineRule="auto"/>
        <w:jc w:val="both"/>
        <w:rPr>
          <w:b/>
          <w:sz w:val="26"/>
          <w:szCs w:val="26"/>
          <w:lang w:val="lv-LV"/>
        </w:rPr>
      </w:pPr>
      <w:r w:rsidRPr="00D81561">
        <w:rPr>
          <w:b/>
          <w:sz w:val="26"/>
          <w:szCs w:val="26"/>
          <w:lang w:val="lv-LV"/>
        </w:rPr>
        <w:t>202</w:t>
      </w:r>
      <w:r w:rsidR="00022BF3">
        <w:rPr>
          <w:b/>
          <w:sz w:val="26"/>
          <w:szCs w:val="26"/>
          <w:lang w:val="lv-LV"/>
        </w:rPr>
        <w:t>2</w:t>
      </w:r>
      <w:r w:rsidRPr="00D81561">
        <w:rPr>
          <w:b/>
          <w:sz w:val="26"/>
          <w:szCs w:val="26"/>
          <w:lang w:val="lv-LV"/>
        </w:rPr>
        <w:t>.gad</w:t>
      </w:r>
      <w:r w:rsidR="00022BF3">
        <w:rPr>
          <w:b/>
          <w:sz w:val="26"/>
          <w:szCs w:val="26"/>
          <w:lang w:val="lv-LV"/>
        </w:rPr>
        <w:t xml:space="preserve">a pirmajos </w:t>
      </w:r>
      <w:r w:rsidR="00302B24">
        <w:rPr>
          <w:b/>
          <w:sz w:val="26"/>
          <w:szCs w:val="26"/>
          <w:lang w:val="lv-LV"/>
        </w:rPr>
        <w:t>deviņos</w:t>
      </w:r>
      <w:r w:rsidR="00022BF3">
        <w:rPr>
          <w:b/>
          <w:sz w:val="26"/>
          <w:szCs w:val="26"/>
          <w:lang w:val="lv-LV"/>
        </w:rPr>
        <w:t xml:space="preserve"> mēnešos</w:t>
      </w:r>
      <w:r w:rsidR="000F3762" w:rsidRPr="00D81561">
        <w:rPr>
          <w:b/>
          <w:sz w:val="26"/>
          <w:szCs w:val="26"/>
          <w:lang w:val="lv-LV"/>
        </w:rPr>
        <w:t xml:space="preserve"> </w:t>
      </w:r>
      <w:bookmarkStart w:id="0" w:name="_Hlk109640824"/>
      <w:r w:rsidR="000F3762" w:rsidRPr="00D81561">
        <w:rPr>
          <w:b/>
          <w:sz w:val="26"/>
          <w:szCs w:val="26"/>
          <w:lang w:val="lv-LV"/>
        </w:rPr>
        <w:t xml:space="preserve">apdrošināšanas sabiedrības un Latvijas Transportlīdzekļu apdrošinātāju birojs (turpmāk- LTAB) kopā </w:t>
      </w:r>
      <w:r w:rsidR="00651447" w:rsidRPr="00D81561">
        <w:rPr>
          <w:b/>
          <w:sz w:val="26"/>
          <w:szCs w:val="26"/>
          <w:lang w:val="lv-LV"/>
        </w:rPr>
        <w:t xml:space="preserve">pieņēmuši lēmumus par </w:t>
      </w:r>
      <w:r w:rsidR="000F3762" w:rsidRPr="00D81561">
        <w:rPr>
          <w:b/>
          <w:sz w:val="26"/>
          <w:szCs w:val="26"/>
          <w:lang w:val="lv-LV"/>
        </w:rPr>
        <w:t xml:space="preserve">OCTA </w:t>
      </w:r>
      <w:r w:rsidR="00651447" w:rsidRPr="00D81561">
        <w:rPr>
          <w:b/>
          <w:sz w:val="26"/>
          <w:szCs w:val="26"/>
          <w:lang w:val="lv-LV"/>
        </w:rPr>
        <w:t>atlīdzību izmaksu</w:t>
      </w:r>
      <w:r w:rsidR="000F3762" w:rsidRPr="00D81561">
        <w:rPr>
          <w:b/>
          <w:sz w:val="26"/>
          <w:szCs w:val="26"/>
          <w:lang w:val="lv-LV"/>
        </w:rPr>
        <w:t xml:space="preserve"> </w:t>
      </w:r>
      <w:r w:rsidR="00302B24">
        <w:rPr>
          <w:b/>
          <w:sz w:val="26"/>
          <w:szCs w:val="26"/>
          <w:lang w:val="lv-LV"/>
        </w:rPr>
        <w:t>44,48</w:t>
      </w:r>
      <w:r w:rsidR="000F3762" w:rsidRPr="00D81561">
        <w:rPr>
          <w:b/>
          <w:sz w:val="26"/>
          <w:szCs w:val="26"/>
          <w:lang w:val="lv-LV"/>
        </w:rPr>
        <w:t xml:space="preserve"> miljonu EUR</w:t>
      </w:r>
      <w:r w:rsidR="00651447" w:rsidRPr="00D81561">
        <w:rPr>
          <w:b/>
          <w:sz w:val="26"/>
          <w:szCs w:val="26"/>
          <w:lang w:val="lv-LV"/>
        </w:rPr>
        <w:t xml:space="preserve"> apmērā</w:t>
      </w:r>
      <w:bookmarkEnd w:id="0"/>
      <w:r w:rsidR="000F3762" w:rsidRPr="00D81561">
        <w:rPr>
          <w:b/>
          <w:sz w:val="26"/>
          <w:szCs w:val="26"/>
          <w:lang w:val="lv-LV"/>
        </w:rPr>
        <w:t xml:space="preserve">. </w:t>
      </w:r>
      <w:r w:rsidR="00022BF3">
        <w:rPr>
          <w:b/>
          <w:sz w:val="26"/>
          <w:szCs w:val="26"/>
          <w:lang w:val="lv-LV"/>
        </w:rPr>
        <w:t>Turpina pieaugt arī vidējās OCTA atlīdzības lielums</w:t>
      </w:r>
      <w:r w:rsidR="00302B24">
        <w:rPr>
          <w:b/>
          <w:sz w:val="26"/>
          <w:szCs w:val="26"/>
          <w:lang w:val="lv-LV"/>
        </w:rPr>
        <w:t>, sasniedzot 1397 EUR, kas ir par 11% vairāk nekā 2021.gada pirmajos deviņos mēnešos</w:t>
      </w:r>
      <w:r w:rsidR="000F3762" w:rsidRPr="00D81561">
        <w:rPr>
          <w:b/>
          <w:sz w:val="26"/>
          <w:szCs w:val="26"/>
          <w:lang w:val="lv-LV"/>
        </w:rPr>
        <w:t>.</w:t>
      </w:r>
      <w:r w:rsidR="00D81561" w:rsidRPr="00D81561">
        <w:rPr>
          <w:b/>
          <w:sz w:val="26"/>
          <w:szCs w:val="26"/>
          <w:lang w:val="lv-LV"/>
        </w:rPr>
        <w:t xml:space="preserve"> </w:t>
      </w:r>
    </w:p>
    <w:p w14:paraId="293E25D0" w14:textId="77777777" w:rsidR="004C7756" w:rsidRPr="00972793" w:rsidRDefault="004C7756" w:rsidP="004C7756">
      <w:pPr>
        <w:spacing w:after="0" w:line="240" w:lineRule="auto"/>
        <w:jc w:val="both"/>
        <w:rPr>
          <w:b/>
          <w:sz w:val="24"/>
          <w:szCs w:val="24"/>
          <w:lang w:val="lv-LV"/>
        </w:rPr>
      </w:pPr>
    </w:p>
    <w:p w14:paraId="16E206C3" w14:textId="7F1977B5" w:rsidR="00DC23E2" w:rsidRDefault="00022BF3" w:rsidP="004C7756">
      <w:pPr>
        <w:spacing w:after="0" w:line="240" w:lineRule="auto"/>
        <w:jc w:val="both"/>
        <w:rPr>
          <w:sz w:val="24"/>
          <w:szCs w:val="24"/>
          <w:lang w:val="lv-LV"/>
        </w:rPr>
      </w:pPr>
      <w:r w:rsidRPr="00022BF3">
        <w:rPr>
          <w:sz w:val="24"/>
          <w:szCs w:val="24"/>
          <w:lang w:val="lv-LV"/>
        </w:rPr>
        <w:t xml:space="preserve">LTAB apkopotā statistika </w:t>
      </w:r>
      <w:r>
        <w:rPr>
          <w:sz w:val="24"/>
          <w:szCs w:val="24"/>
          <w:lang w:val="lv-LV"/>
        </w:rPr>
        <w:t xml:space="preserve">par 2022.gada pirmajiem </w:t>
      </w:r>
      <w:r w:rsidR="00302B24">
        <w:rPr>
          <w:sz w:val="24"/>
          <w:szCs w:val="24"/>
          <w:lang w:val="lv-LV"/>
        </w:rPr>
        <w:t>deviņiem</w:t>
      </w:r>
      <w:r>
        <w:rPr>
          <w:sz w:val="24"/>
          <w:szCs w:val="24"/>
          <w:lang w:val="lv-LV"/>
        </w:rPr>
        <w:t xml:space="preserve"> mēnešiem </w:t>
      </w:r>
      <w:r w:rsidRPr="00022BF3">
        <w:rPr>
          <w:sz w:val="24"/>
          <w:szCs w:val="24"/>
          <w:lang w:val="lv-LV"/>
        </w:rPr>
        <w:t xml:space="preserve">liecina, ka </w:t>
      </w:r>
      <w:r w:rsidR="00DC23E2">
        <w:rPr>
          <w:sz w:val="24"/>
          <w:szCs w:val="24"/>
          <w:lang w:val="lv-LV"/>
        </w:rPr>
        <w:t xml:space="preserve">vidējā OCTA atlīdzība </w:t>
      </w:r>
      <w:r w:rsidR="00302B24">
        <w:rPr>
          <w:sz w:val="24"/>
          <w:szCs w:val="24"/>
          <w:lang w:val="lv-LV"/>
        </w:rPr>
        <w:t>tuvojas 1400 EUR</w:t>
      </w:r>
      <w:r w:rsidR="00DC23E2">
        <w:rPr>
          <w:sz w:val="24"/>
          <w:szCs w:val="24"/>
          <w:lang w:val="lv-LV"/>
        </w:rPr>
        <w:t>. “</w:t>
      </w:r>
      <w:r w:rsidR="00302B24">
        <w:rPr>
          <w:sz w:val="24"/>
          <w:szCs w:val="24"/>
          <w:lang w:val="lv-LV"/>
        </w:rPr>
        <w:t>Vidējās atlīdzības pieaugums pēdējos gados ir cieši saistīts ar kopējo ekonomikas izaugsmi un tai sekojošo cenu pieaugumu. A</w:t>
      </w:r>
      <w:r w:rsidR="00A21025">
        <w:rPr>
          <w:sz w:val="24"/>
          <w:szCs w:val="24"/>
          <w:lang w:val="lv-LV"/>
        </w:rPr>
        <w:t>pdrošināšanas joma nav vientuļa sala ekonomikas okeānā, bet gan ir cieši saistīta ar citām uzņēmējdarbības sfērām. Pēdējā laikā strauji kāpušas auto remonta izmaksas, medicīnas pakalpojumu cenas un citas pozīcijas, kuras tiešā veidā atspoguļojas apdrošināšanas vidējās atlīdzības pieaugumā</w:t>
      </w:r>
      <w:r w:rsidR="00DC23E2">
        <w:rPr>
          <w:sz w:val="24"/>
          <w:szCs w:val="24"/>
          <w:lang w:val="lv-LV"/>
        </w:rPr>
        <w:t>,” stāsta LTAB valdes priekšsēdētājs Jānis Abāšins</w:t>
      </w:r>
      <w:r w:rsidR="00B2160E">
        <w:rPr>
          <w:sz w:val="24"/>
          <w:szCs w:val="24"/>
          <w:lang w:val="lv-LV"/>
        </w:rPr>
        <w:t>.</w:t>
      </w:r>
    </w:p>
    <w:p w14:paraId="3C19BB69" w14:textId="2E03D122" w:rsidR="004C7756" w:rsidRDefault="004C7756" w:rsidP="004C7756">
      <w:pPr>
        <w:spacing w:after="0" w:line="240" w:lineRule="auto"/>
        <w:jc w:val="both"/>
        <w:rPr>
          <w:color w:val="000000"/>
          <w:sz w:val="24"/>
          <w:szCs w:val="24"/>
          <w:lang w:val="lv-LV" w:eastAsia="lv-LV"/>
        </w:rPr>
      </w:pPr>
    </w:p>
    <w:p w14:paraId="5A279B81" w14:textId="5100A6D8" w:rsidR="00C61648" w:rsidRDefault="00C61648" w:rsidP="00C40833">
      <w:pPr>
        <w:jc w:val="both"/>
        <w:rPr>
          <w:color w:val="000000"/>
          <w:sz w:val="24"/>
          <w:szCs w:val="24"/>
          <w:lang w:val="lv-LV" w:eastAsia="lv-LV"/>
        </w:rPr>
      </w:pPr>
      <w:r w:rsidRPr="00C61648">
        <w:rPr>
          <w:color w:val="000000"/>
          <w:sz w:val="24"/>
          <w:szCs w:val="24"/>
          <w:lang w:val="lv-LV" w:eastAsia="lv-LV"/>
        </w:rPr>
        <w:t>Jāatzīmē, ka pēdējos gados būtiski pieaug apdrošināšanas atlīdzību summas, kas saistītas ar zaudējumiem personai, valstij un pašvaldībām, un trešās personas mantai: “Ja desmit gadus atpakaļ atlīdzības par zaudējumiem, kas nodarīti transportlīdzeklim proporcionāli sastādīja vairāk nekā 90%, tad šobrīd tie ir 7</w:t>
      </w:r>
      <w:r>
        <w:rPr>
          <w:color w:val="000000"/>
          <w:sz w:val="24"/>
          <w:szCs w:val="24"/>
          <w:lang w:val="lv-LV" w:eastAsia="lv-LV"/>
        </w:rPr>
        <w:t>6,6</w:t>
      </w:r>
      <w:r w:rsidRPr="00C61648">
        <w:rPr>
          <w:color w:val="000000"/>
          <w:sz w:val="24"/>
          <w:szCs w:val="24"/>
          <w:lang w:val="lv-LV" w:eastAsia="lv-LV"/>
        </w:rPr>
        <w:t xml:space="preserve">%,” stāsta </w:t>
      </w:r>
      <w:proofErr w:type="spellStart"/>
      <w:r w:rsidRPr="00C61648">
        <w:rPr>
          <w:color w:val="000000"/>
          <w:sz w:val="24"/>
          <w:szCs w:val="24"/>
          <w:lang w:val="lv-LV" w:eastAsia="lv-LV"/>
        </w:rPr>
        <w:t>J.Abāšins</w:t>
      </w:r>
      <w:proofErr w:type="spellEnd"/>
      <w:r w:rsidRPr="00C61648">
        <w:rPr>
          <w:color w:val="000000"/>
          <w:sz w:val="24"/>
          <w:szCs w:val="24"/>
          <w:lang w:val="lv-LV" w:eastAsia="lv-LV"/>
        </w:rPr>
        <w:t>.</w:t>
      </w:r>
    </w:p>
    <w:p w14:paraId="4BF637E9" w14:textId="61581DDE" w:rsidR="00C61648" w:rsidRDefault="00C61648" w:rsidP="00C40833">
      <w:pPr>
        <w:jc w:val="both"/>
        <w:rPr>
          <w:color w:val="000000"/>
          <w:sz w:val="24"/>
          <w:szCs w:val="24"/>
          <w:lang w:val="lv-LV" w:eastAsia="lv-LV"/>
        </w:rPr>
      </w:pPr>
      <w:r w:rsidRPr="00C61648">
        <w:rPr>
          <w:color w:val="000000"/>
          <w:sz w:val="24"/>
          <w:szCs w:val="24"/>
          <w:lang w:val="lv-LV" w:eastAsia="lv-LV"/>
        </w:rPr>
        <w:t xml:space="preserve">OCTA likums nosaka, ka apdrošinātāji un LTAB atlīdzina zaudējumus ne tikai par </w:t>
      </w:r>
      <w:proofErr w:type="spellStart"/>
      <w:r w:rsidRPr="00C61648">
        <w:rPr>
          <w:color w:val="000000"/>
          <w:sz w:val="24"/>
          <w:szCs w:val="24"/>
          <w:lang w:val="lv-LV" w:eastAsia="lv-LV"/>
        </w:rPr>
        <w:t>CSNg</w:t>
      </w:r>
      <w:proofErr w:type="spellEnd"/>
      <w:r w:rsidRPr="00C61648">
        <w:rPr>
          <w:color w:val="000000"/>
          <w:sz w:val="24"/>
          <w:szCs w:val="24"/>
          <w:lang w:val="lv-LV" w:eastAsia="lv-LV"/>
        </w:rPr>
        <w:t xml:space="preserve"> rezultātā transportlīdzeklim nodarītajiem bojājumiem, bet arī kompensē zaudējumus cietušajām personām, valstij un pašvaldībām par </w:t>
      </w:r>
      <w:proofErr w:type="spellStart"/>
      <w:r w:rsidRPr="00C61648">
        <w:rPr>
          <w:color w:val="000000"/>
          <w:sz w:val="24"/>
          <w:szCs w:val="24"/>
          <w:lang w:val="lv-LV" w:eastAsia="lv-LV"/>
        </w:rPr>
        <w:t>CSNg</w:t>
      </w:r>
      <w:proofErr w:type="spellEnd"/>
      <w:r w:rsidRPr="00C61648">
        <w:rPr>
          <w:color w:val="000000"/>
          <w:sz w:val="24"/>
          <w:szCs w:val="24"/>
          <w:lang w:val="lv-LV" w:eastAsia="lv-LV"/>
        </w:rPr>
        <w:t xml:space="preserve"> cietušo ārstēšanu un rehabilitāciju, piemēram, par ātrās neatliekamās palīdzības izsaukumu un cietušā nogādāšanu uz ārstniecības iestādi, ārstēšanu un uzturēšanu slimnīcā, veselības atjaunošanu rehabilitācijas centros, ja to nozīmējis ārsts saistībā ar </w:t>
      </w:r>
      <w:proofErr w:type="spellStart"/>
      <w:r w:rsidRPr="00C61648">
        <w:rPr>
          <w:color w:val="000000"/>
          <w:sz w:val="24"/>
          <w:szCs w:val="24"/>
          <w:lang w:val="lv-LV" w:eastAsia="lv-LV"/>
        </w:rPr>
        <w:t>CSNg</w:t>
      </w:r>
      <w:proofErr w:type="spellEnd"/>
      <w:r w:rsidRPr="00C61648">
        <w:rPr>
          <w:color w:val="000000"/>
          <w:sz w:val="24"/>
          <w:szCs w:val="24"/>
          <w:lang w:val="lv-LV" w:eastAsia="lv-LV"/>
        </w:rPr>
        <w:t xml:space="preserve"> gūtajām traumām un citus ar veselības uzlabošanu saistītus izdevumus. Tāpat tiek atlīdzināti valsts un pašvaldību izdevumi, kuri saistīti ar </w:t>
      </w:r>
      <w:proofErr w:type="spellStart"/>
      <w:r w:rsidRPr="00C61648">
        <w:rPr>
          <w:color w:val="000000"/>
          <w:sz w:val="24"/>
          <w:szCs w:val="24"/>
          <w:lang w:val="lv-LV" w:eastAsia="lv-LV"/>
        </w:rPr>
        <w:t>CSNg</w:t>
      </w:r>
      <w:proofErr w:type="spellEnd"/>
      <w:r w:rsidRPr="00C61648">
        <w:rPr>
          <w:color w:val="000000"/>
          <w:sz w:val="24"/>
          <w:szCs w:val="24"/>
          <w:lang w:val="lv-LV" w:eastAsia="lv-LV"/>
        </w:rPr>
        <w:t xml:space="preserve"> cietušo slimības lapu apmaksu, pensijām un pabalstiem invalīdiem un apgādājamiem, apbedīšanas pabalstiem, tehnisko palīglīdzekļu īri vai iegādi, ceļu, ēku un videi nodarītajiem bojājumiem.</w:t>
      </w:r>
    </w:p>
    <w:p w14:paraId="54EADA99" w14:textId="35D226CF" w:rsidR="00605F87" w:rsidRPr="004C7756" w:rsidRDefault="00605F87" w:rsidP="00C40833">
      <w:pPr>
        <w:jc w:val="both"/>
        <w:rPr>
          <w:sz w:val="24"/>
          <w:szCs w:val="24"/>
        </w:rPr>
      </w:pPr>
      <w:r w:rsidRPr="00C61648">
        <w:rPr>
          <w:sz w:val="24"/>
          <w:szCs w:val="24"/>
          <w:lang w:val="lv-LV"/>
        </w:rPr>
        <w:t xml:space="preserve">1997. gadā Latvijā tika ieviesta OCTA sistēma. </w:t>
      </w:r>
      <w:proofErr w:type="spellStart"/>
      <w:r w:rsidRPr="004C7756">
        <w:rPr>
          <w:sz w:val="24"/>
          <w:szCs w:val="24"/>
        </w:rPr>
        <w:t>Tiesības</w:t>
      </w:r>
      <w:proofErr w:type="spellEnd"/>
      <w:r w:rsidRPr="004C7756">
        <w:rPr>
          <w:sz w:val="24"/>
          <w:szCs w:val="24"/>
        </w:rPr>
        <w:t xml:space="preserve"> </w:t>
      </w:r>
      <w:proofErr w:type="spellStart"/>
      <w:r w:rsidRPr="004C7756">
        <w:rPr>
          <w:sz w:val="24"/>
          <w:szCs w:val="24"/>
        </w:rPr>
        <w:t>veikt</w:t>
      </w:r>
      <w:proofErr w:type="spellEnd"/>
      <w:r w:rsidRPr="004C7756">
        <w:rPr>
          <w:sz w:val="24"/>
          <w:szCs w:val="24"/>
        </w:rPr>
        <w:t xml:space="preserve"> OCTA </w:t>
      </w:r>
      <w:proofErr w:type="spellStart"/>
      <w:r w:rsidRPr="004C7756">
        <w:rPr>
          <w:sz w:val="24"/>
          <w:szCs w:val="24"/>
        </w:rPr>
        <w:t>apdrošināšanu</w:t>
      </w:r>
      <w:proofErr w:type="spellEnd"/>
      <w:r w:rsidRPr="004C7756">
        <w:rPr>
          <w:sz w:val="24"/>
          <w:szCs w:val="24"/>
        </w:rPr>
        <w:t xml:space="preserve"> </w:t>
      </w:r>
      <w:proofErr w:type="spellStart"/>
      <w:r w:rsidRPr="004C7756">
        <w:rPr>
          <w:sz w:val="24"/>
          <w:szCs w:val="24"/>
        </w:rPr>
        <w:t>Latvijā</w:t>
      </w:r>
      <w:proofErr w:type="spellEnd"/>
      <w:r w:rsidRPr="004C7756">
        <w:rPr>
          <w:sz w:val="24"/>
          <w:szCs w:val="24"/>
        </w:rPr>
        <w:t xml:space="preserve"> </w:t>
      </w:r>
      <w:proofErr w:type="spellStart"/>
      <w:r w:rsidRPr="004C7756">
        <w:rPr>
          <w:sz w:val="24"/>
          <w:szCs w:val="24"/>
        </w:rPr>
        <w:t>ir</w:t>
      </w:r>
      <w:proofErr w:type="spellEnd"/>
      <w:r w:rsidRPr="004C7756">
        <w:rPr>
          <w:sz w:val="24"/>
          <w:szCs w:val="24"/>
        </w:rPr>
        <w:t xml:space="preserve"> AAS “Balta”, AAS “</w:t>
      </w:r>
      <w:proofErr w:type="spellStart"/>
      <w:r w:rsidRPr="004C7756">
        <w:rPr>
          <w:sz w:val="24"/>
          <w:szCs w:val="24"/>
        </w:rPr>
        <w:t>Baltijas</w:t>
      </w:r>
      <w:proofErr w:type="spellEnd"/>
      <w:r w:rsidRPr="004C7756">
        <w:rPr>
          <w:sz w:val="24"/>
          <w:szCs w:val="24"/>
        </w:rPr>
        <w:t xml:space="preserve"> </w:t>
      </w:r>
      <w:proofErr w:type="spellStart"/>
      <w:r w:rsidRPr="004C7756">
        <w:rPr>
          <w:sz w:val="24"/>
          <w:szCs w:val="24"/>
        </w:rPr>
        <w:t>Apdrošināšanas</w:t>
      </w:r>
      <w:proofErr w:type="spellEnd"/>
      <w:r w:rsidRPr="004C7756">
        <w:rPr>
          <w:sz w:val="24"/>
          <w:szCs w:val="24"/>
        </w:rPr>
        <w:t xml:space="preserve"> </w:t>
      </w:r>
      <w:proofErr w:type="spellStart"/>
      <w:r w:rsidRPr="004C7756">
        <w:rPr>
          <w:sz w:val="24"/>
          <w:szCs w:val="24"/>
        </w:rPr>
        <w:t>Nams</w:t>
      </w:r>
      <w:proofErr w:type="spellEnd"/>
      <w:r w:rsidRPr="004C7756">
        <w:rPr>
          <w:sz w:val="24"/>
          <w:szCs w:val="24"/>
        </w:rPr>
        <w:t>”, AAS “BTA Baltic Insurance Company”, “</w:t>
      </w:r>
      <w:proofErr w:type="spellStart"/>
      <w:r w:rsidRPr="004C7756">
        <w:rPr>
          <w:sz w:val="24"/>
          <w:szCs w:val="24"/>
        </w:rPr>
        <w:t>Compensa</w:t>
      </w:r>
      <w:proofErr w:type="spellEnd"/>
      <w:r w:rsidRPr="004C7756">
        <w:rPr>
          <w:sz w:val="24"/>
          <w:szCs w:val="24"/>
        </w:rPr>
        <w:t xml:space="preserve"> Vienna Insurance Group” ADB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“ERGO Insurance” SE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ADB “Gjensidige”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“If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00DA1A05">
        <w:rPr>
          <w:sz w:val="24"/>
          <w:szCs w:val="24"/>
        </w:rPr>
        <w:t xml:space="preserve">, </w:t>
      </w:r>
      <w:r w:rsidRPr="004C7756">
        <w:rPr>
          <w:sz w:val="24"/>
          <w:szCs w:val="24"/>
        </w:rPr>
        <w:t xml:space="preserve">“Swedbank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00DA1A05">
        <w:rPr>
          <w:sz w:val="24"/>
          <w:szCs w:val="24"/>
        </w:rPr>
        <w:t xml:space="preserve"> un </w:t>
      </w:r>
      <w:r w:rsidR="00DA1A05" w:rsidRPr="00DA1A05">
        <w:rPr>
          <w:sz w:val="24"/>
          <w:szCs w:val="24"/>
        </w:rPr>
        <w:t>«</w:t>
      </w:r>
      <w:proofErr w:type="spellStart"/>
      <w:r w:rsidR="00DA1A05" w:rsidRPr="00DA1A05">
        <w:rPr>
          <w:sz w:val="24"/>
          <w:szCs w:val="24"/>
        </w:rPr>
        <w:t>Balcia</w:t>
      </w:r>
      <w:proofErr w:type="spellEnd"/>
      <w:r w:rsidR="00DA1A05" w:rsidRPr="00DA1A05">
        <w:rPr>
          <w:sz w:val="24"/>
          <w:szCs w:val="24"/>
        </w:rPr>
        <w:t xml:space="preserve"> Insurance» SE</w:t>
      </w:r>
      <w:r w:rsidRPr="004C7756">
        <w:rPr>
          <w:sz w:val="24"/>
          <w:szCs w:val="24"/>
        </w:rPr>
        <w:t>.</w:t>
      </w: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161720">
      <w:headerReference w:type="default" r:id="rId7"/>
      <w:footerReference w:type="default" r:id="rId8"/>
      <w:pgSz w:w="11906" w:h="16838"/>
      <w:pgMar w:top="1280" w:right="1274"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5BC5" w14:textId="77777777" w:rsidR="00CF38F3" w:rsidRDefault="00CF38F3" w:rsidP="00C62AF7">
      <w:pPr>
        <w:spacing w:after="0" w:line="240" w:lineRule="auto"/>
      </w:pPr>
      <w:r>
        <w:separator/>
      </w:r>
    </w:p>
  </w:endnote>
  <w:endnote w:type="continuationSeparator" w:id="0">
    <w:p w14:paraId="7AE629AA" w14:textId="77777777" w:rsidR="00CF38F3" w:rsidRDefault="00CF38F3" w:rsidP="00C62AF7">
      <w:pPr>
        <w:spacing w:after="0" w:line="240" w:lineRule="auto"/>
      </w:pPr>
      <w:r>
        <w:continuationSeparator/>
      </w:r>
    </w:p>
  </w:endnote>
  <w:endnote w:type="continuationNotice" w:id="1">
    <w:p w14:paraId="2D8A92CE" w14:textId="77777777" w:rsidR="00CF38F3" w:rsidRDefault="00CF3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A5C9" w14:textId="77777777" w:rsidR="00CF38F3" w:rsidRDefault="00CF38F3" w:rsidP="00C62AF7">
      <w:pPr>
        <w:spacing w:after="0" w:line="240" w:lineRule="auto"/>
      </w:pPr>
      <w:r>
        <w:separator/>
      </w:r>
    </w:p>
  </w:footnote>
  <w:footnote w:type="continuationSeparator" w:id="0">
    <w:p w14:paraId="3097630B" w14:textId="77777777" w:rsidR="00CF38F3" w:rsidRDefault="00CF38F3" w:rsidP="00C62AF7">
      <w:pPr>
        <w:spacing w:after="0" w:line="240" w:lineRule="auto"/>
      </w:pPr>
      <w:r>
        <w:continuationSeparator/>
      </w:r>
    </w:p>
  </w:footnote>
  <w:footnote w:type="continuationNotice" w:id="1">
    <w:p w14:paraId="5F05187D" w14:textId="77777777" w:rsidR="00CF38F3" w:rsidRDefault="00CF3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7A1C"/>
    <w:rsid w:val="00617E51"/>
    <w:rsid w:val="00622A7B"/>
    <w:rsid w:val="00633287"/>
    <w:rsid w:val="006351AC"/>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7408B"/>
    <w:rsid w:val="007772E1"/>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25"/>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66A34"/>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1648"/>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8F3"/>
    <w:rsid w:val="00CF3FEB"/>
    <w:rsid w:val="00CF7451"/>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A1A05"/>
    <w:rsid w:val="00DA1B67"/>
    <w:rsid w:val="00DA6558"/>
    <w:rsid w:val="00DA7FCA"/>
    <w:rsid w:val="00DB37AC"/>
    <w:rsid w:val="00DC23E2"/>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8391D"/>
    <w:rsid w:val="00E91AD3"/>
    <w:rsid w:val="00E9257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1729</Words>
  <Characters>987</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2022-11-25T13:13:00Z</dcterms:created>
  <dcterms:modified xsi:type="dcterms:W3CDTF">2022-11-25T13:13:00Z</dcterms:modified>
</cp:coreProperties>
</file>